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108" w:type="dxa"/>
        <w:tblLayout w:type="fixed"/>
        <w:tblCellMar>
          <w:left w:w="10" w:type="dxa"/>
          <w:right w:w="10" w:type="dxa"/>
        </w:tblCellMar>
        <w:tblLook w:val="0000" w:firstRow="0" w:lastRow="0" w:firstColumn="0" w:lastColumn="0" w:noHBand="0" w:noVBand="0"/>
      </w:tblPr>
      <w:tblGrid>
        <w:gridCol w:w="1791"/>
        <w:gridCol w:w="2954"/>
        <w:gridCol w:w="3220"/>
        <w:gridCol w:w="2525"/>
        <w:gridCol w:w="40"/>
      </w:tblGrid>
      <w:tr w:rsidR="00604E5C" w14:paraId="7F93FA37" w14:textId="77777777" w:rsidTr="00887CD4">
        <w:trPr>
          <w:trHeight w:val="558"/>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24773A" w14:textId="77777777" w:rsidR="00604E5C" w:rsidRDefault="00604E5C">
            <w:pPr>
              <w:pStyle w:val="Standard"/>
              <w:spacing w:after="0" w:line="240" w:lineRule="auto"/>
              <w:jc w:val="center"/>
              <w:rPr>
                <w:rFonts w:ascii="Times New Roman" w:hAnsi="Times New Roman"/>
              </w:rPr>
            </w:pPr>
          </w:p>
          <w:p w14:paraId="68FEB785" w14:textId="77777777" w:rsidR="00604E5C" w:rsidRDefault="004C727C" w:rsidP="00887CD4">
            <w:pPr>
              <w:pStyle w:val="Standard"/>
              <w:jc w:val="center"/>
            </w:pPr>
            <w:r>
              <w:rPr>
                <w:rStyle w:val="Fuentedeprrafopredeter1"/>
                <w:rFonts w:ascii="Times New Roman" w:hAnsi="Times New Roman"/>
                <w:b/>
              </w:rPr>
              <w:t>IES CERRO DE LOS INFANTES</w:t>
            </w:r>
          </w:p>
        </w:tc>
        <w:tc>
          <w:tcPr>
            <w:tcW w:w="8699"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ED36626" w14:textId="010A114E" w:rsidR="00604E5C" w:rsidRDefault="004C727C">
            <w:pPr>
              <w:pStyle w:val="Standard"/>
              <w:spacing w:after="0" w:line="240" w:lineRule="auto"/>
              <w:jc w:val="center"/>
            </w:pPr>
            <w:r>
              <w:rPr>
                <w:rStyle w:val="Fuentedeprrafopredeter1"/>
                <w:rFonts w:ascii="Times New Roman" w:hAnsi="Times New Roman"/>
                <w:b/>
              </w:rPr>
              <w:t xml:space="preserve"> RESUMEN INFORMATIVO</w:t>
            </w:r>
            <w:r w:rsidR="00592147">
              <w:rPr>
                <w:rStyle w:val="Fuentedeprrafopredeter1"/>
                <w:rFonts w:ascii="Times New Roman" w:hAnsi="Times New Roman"/>
                <w:b/>
              </w:rPr>
              <w:t>-CRITERIOS</w:t>
            </w:r>
          </w:p>
        </w:tc>
        <w:tc>
          <w:tcPr>
            <w:tcW w:w="40" w:type="dxa"/>
            <w:shd w:val="clear" w:color="auto" w:fill="auto"/>
            <w:tcMar>
              <w:top w:w="0" w:type="dxa"/>
              <w:left w:w="10" w:type="dxa"/>
              <w:bottom w:w="0" w:type="dxa"/>
              <w:right w:w="10" w:type="dxa"/>
            </w:tcMar>
          </w:tcPr>
          <w:p w14:paraId="5F028ACE" w14:textId="77777777" w:rsidR="00604E5C" w:rsidRDefault="00604E5C">
            <w:pPr>
              <w:pStyle w:val="Standard"/>
              <w:spacing w:after="0" w:line="240" w:lineRule="auto"/>
              <w:jc w:val="center"/>
            </w:pPr>
          </w:p>
        </w:tc>
      </w:tr>
      <w:tr w:rsidR="00604E5C" w14:paraId="2DDE1BD1" w14:textId="77777777" w:rsidTr="00A11AF1">
        <w:trPr>
          <w:trHeight w:val="430"/>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F31A12"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3C1BC1" w14:textId="77777777" w:rsidR="00604E5C" w:rsidRDefault="004C727C">
            <w:pPr>
              <w:pStyle w:val="Standard"/>
              <w:spacing w:after="0" w:line="240" w:lineRule="auto"/>
            </w:pPr>
            <w:r>
              <w:rPr>
                <w:rStyle w:val="Fuentedeprrafopredeter1"/>
                <w:rFonts w:ascii="Times New Roman" w:hAnsi="Times New Roman"/>
                <w:b/>
                <w:sz w:val="20"/>
                <w:szCs w:val="20"/>
              </w:rPr>
              <w:t>DEPARTAMENTO:</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016E4B" w14:textId="77777777" w:rsidR="00604E5C" w:rsidRDefault="00A11AF1" w:rsidP="00A11AF1">
            <w:pPr>
              <w:pStyle w:val="Standard"/>
              <w:spacing w:after="0" w:line="240" w:lineRule="auto"/>
              <w:jc w:val="center"/>
              <w:rPr>
                <w:rFonts w:ascii="Times New Roman" w:hAnsi="Times New Roman"/>
                <w:sz w:val="20"/>
                <w:szCs w:val="20"/>
              </w:rPr>
            </w:pPr>
            <w:r>
              <w:rPr>
                <w:rFonts w:ascii="Times New Roman" w:hAnsi="Times New Roman"/>
                <w:sz w:val="20"/>
                <w:szCs w:val="20"/>
              </w:rPr>
              <w:t>MATEMÁTICAS</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F0E90B" w14:textId="6ABF52ED" w:rsidR="00604E5C" w:rsidRDefault="004C727C">
            <w:pPr>
              <w:pStyle w:val="Standard"/>
              <w:spacing w:after="0" w:line="240" w:lineRule="auto"/>
            </w:pPr>
            <w:r>
              <w:rPr>
                <w:rStyle w:val="Fuentedeprrafopredeter1"/>
                <w:rFonts w:ascii="Times New Roman" w:hAnsi="Times New Roman"/>
                <w:b/>
                <w:sz w:val="20"/>
                <w:szCs w:val="20"/>
              </w:rPr>
              <w:t>CURSO:</w:t>
            </w:r>
            <w:r w:rsidR="00C561B9">
              <w:rPr>
                <w:rStyle w:val="Fuentedeprrafopredeter1"/>
                <w:rFonts w:ascii="Times New Roman" w:hAnsi="Times New Roman"/>
                <w:b/>
                <w:sz w:val="20"/>
                <w:szCs w:val="20"/>
              </w:rPr>
              <w:t xml:space="preserve">  </w:t>
            </w:r>
            <w:r w:rsidR="007F22EE">
              <w:rPr>
                <w:rStyle w:val="Fuentedeprrafopredeter1"/>
                <w:rFonts w:ascii="Times New Roman" w:hAnsi="Times New Roman"/>
                <w:b/>
                <w:sz w:val="20"/>
                <w:szCs w:val="20"/>
              </w:rPr>
              <w:t>1º BACHILLERATO CIENCIAS</w:t>
            </w:r>
            <w:r w:rsidR="00CF240E">
              <w:rPr>
                <w:rStyle w:val="Fuentedeprrafopredeter1"/>
                <w:rFonts w:ascii="Times New Roman" w:hAnsi="Times New Roman"/>
                <w:b/>
                <w:sz w:val="20"/>
                <w:szCs w:val="20"/>
              </w:rPr>
              <w:t xml:space="preserve"> SOCIALES</w:t>
            </w:r>
          </w:p>
        </w:tc>
        <w:tc>
          <w:tcPr>
            <w:tcW w:w="40" w:type="dxa"/>
          </w:tcPr>
          <w:p w14:paraId="1E2934DF" w14:textId="77777777" w:rsidR="00604E5C" w:rsidRDefault="00604E5C">
            <w:pPr>
              <w:pStyle w:val="Standard"/>
              <w:spacing w:after="0" w:line="240" w:lineRule="auto"/>
            </w:pPr>
          </w:p>
        </w:tc>
      </w:tr>
      <w:tr w:rsidR="00604E5C" w14:paraId="4F1C7554" w14:textId="77777777" w:rsidTr="00772D00">
        <w:trPr>
          <w:trHeight w:val="396"/>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DDDB5F"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359910" w14:textId="77777777" w:rsidR="00604E5C" w:rsidRDefault="004C727C">
            <w:pPr>
              <w:pStyle w:val="Standard"/>
              <w:spacing w:after="0" w:line="240" w:lineRule="auto"/>
            </w:pPr>
            <w:r>
              <w:rPr>
                <w:rStyle w:val="Fuentedeprrafopredeter1"/>
                <w:rFonts w:ascii="Times New Roman" w:hAnsi="Times New Roman"/>
                <w:b/>
                <w:sz w:val="20"/>
                <w:szCs w:val="20"/>
              </w:rPr>
              <w:t>MATERIA:</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3DD493" w14:textId="0AF1913D" w:rsidR="00604E5C" w:rsidRDefault="00F95EA5" w:rsidP="00772D00">
            <w:pPr>
              <w:pStyle w:val="Standard"/>
              <w:spacing w:after="0" w:line="240" w:lineRule="auto"/>
              <w:jc w:val="center"/>
              <w:rPr>
                <w:rFonts w:ascii="Times New Roman" w:hAnsi="Times New Roman"/>
                <w:sz w:val="20"/>
                <w:szCs w:val="20"/>
              </w:rPr>
            </w:pPr>
            <w:r>
              <w:rPr>
                <w:rFonts w:ascii="Times New Roman" w:hAnsi="Times New Roman"/>
                <w:sz w:val="20"/>
                <w:szCs w:val="20"/>
              </w:rPr>
              <w:t xml:space="preserve">MATEMÁTICAS </w:t>
            </w:r>
            <w:r w:rsidR="00CF240E">
              <w:rPr>
                <w:rFonts w:ascii="Times New Roman" w:hAnsi="Times New Roman"/>
                <w:sz w:val="20"/>
                <w:szCs w:val="20"/>
              </w:rPr>
              <w:t>APLICADAS A CCSS</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10FC77" w14:textId="77777777" w:rsidR="00B2497C" w:rsidRDefault="004C727C"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
                <w:sz w:val="20"/>
                <w:szCs w:val="20"/>
              </w:rPr>
              <w:t>PROFESOR/A:</w:t>
            </w:r>
            <w:r w:rsidR="00B2497C" w:rsidRPr="00DF52C2">
              <w:rPr>
                <w:rStyle w:val="Fuentedeprrafopredeter1"/>
                <w:rFonts w:ascii="Times New Roman" w:hAnsi="Times New Roman"/>
                <w:bCs/>
                <w:color w:val="000000" w:themeColor="text1"/>
                <w:sz w:val="16"/>
                <w:szCs w:val="16"/>
              </w:rPr>
              <w:t xml:space="preserve"> </w:t>
            </w:r>
          </w:p>
          <w:p w14:paraId="62B2652D" w14:textId="2F518DA1" w:rsidR="00B2497C" w:rsidRPr="00DF52C2" w:rsidRDefault="00E510AE"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Cs/>
                <w:color w:val="000000" w:themeColor="text1"/>
                <w:sz w:val="16"/>
                <w:szCs w:val="16"/>
              </w:rPr>
              <w:t>F. Javier Cordero Tejero</w:t>
            </w:r>
          </w:p>
          <w:p w14:paraId="3572EECC" w14:textId="67A45A57" w:rsidR="00604E5C" w:rsidRDefault="00604E5C">
            <w:pPr>
              <w:pStyle w:val="Standard"/>
              <w:spacing w:after="0" w:line="240" w:lineRule="auto"/>
            </w:pPr>
          </w:p>
        </w:tc>
        <w:tc>
          <w:tcPr>
            <w:tcW w:w="40" w:type="dxa"/>
          </w:tcPr>
          <w:p w14:paraId="153FE40D" w14:textId="77777777" w:rsidR="00604E5C" w:rsidRDefault="00604E5C">
            <w:pPr>
              <w:pStyle w:val="Standard"/>
              <w:spacing w:after="0" w:line="240" w:lineRule="auto"/>
            </w:pPr>
          </w:p>
        </w:tc>
      </w:tr>
    </w:tbl>
    <w:p w14:paraId="6CA9257E" w14:textId="77777777" w:rsidR="00604E5C" w:rsidRDefault="00604E5C">
      <w:pPr>
        <w:pStyle w:val="Standard"/>
      </w:pPr>
    </w:p>
    <w:p w14:paraId="003089BA" w14:textId="18D79C24" w:rsidR="007F22EE" w:rsidRPr="00C3438F" w:rsidRDefault="00C3438F">
      <w:pPr>
        <w:pStyle w:val="Standard"/>
        <w:rPr>
          <w:b/>
        </w:rPr>
      </w:pPr>
      <w:r>
        <w:rPr>
          <w:b/>
        </w:rPr>
        <w:t>1. CRITERIOS DE EVALUACIÓN – ESTÁNDARES DE APRENDIZAJE</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9"/>
        <w:gridCol w:w="2899"/>
        <w:gridCol w:w="4820"/>
        <w:gridCol w:w="992"/>
      </w:tblGrid>
      <w:tr w:rsidR="00CF240E" w:rsidRPr="001911B5" w14:paraId="33E6193E" w14:textId="77777777" w:rsidTr="00CF240E">
        <w:trPr>
          <w:trHeight w:val="78"/>
          <w:tblHeader/>
        </w:trPr>
        <w:tc>
          <w:tcPr>
            <w:tcW w:w="1849" w:type="dxa"/>
            <w:tcBorders>
              <w:bottom w:val="single" w:sz="4" w:space="0" w:color="auto"/>
            </w:tcBorders>
            <w:shd w:val="clear" w:color="auto" w:fill="BDD6EE" w:themeFill="accent5" w:themeFillTint="66"/>
            <w:vAlign w:val="center"/>
            <w:hideMark/>
          </w:tcPr>
          <w:p w14:paraId="3BBC474A" w14:textId="77777777" w:rsidR="00CF240E" w:rsidRPr="001911B5" w:rsidRDefault="00CF240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UNIDAD DIDÁCTICA</w:t>
            </w:r>
          </w:p>
        </w:tc>
        <w:tc>
          <w:tcPr>
            <w:tcW w:w="2899" w:type="dxa"/>
            <w:tcBorders>
              <w:bottom w:val="single" w:sz="4" w:space="0" w:color="auto"/>
            </w:tcBorders>
            <w:shd w:val="clear" w:color="auto" w:fill="BDD6EE" w:themeFill="accent5" w:themeFillTint="66"/>
            <w:vAlign w:val="center"/>
            <w:hideMark/>
          </w:tcPr>
          <w:p w14:paraId="4107A2EC" w14:textId="77777777" w:rsidR="00CF240E" w:rsidRPr="001911B5" w:rsidRDefault="00CF240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CRITERIOS DE EVALUACIÓN</w:t>
            </w:r>
          </w:p>
        </w:tc>
        <w:tc>
          <w:tcPr>
            <w:tcW w:w="4820" w:type="dxa"/>
            <w:tcBorders>
              <w:bottom w:val="single" w:sz="4" w:space="0" w:color="auto"/>
            </w:tcBorders>
            <w:shd w:val="clear" w:color="auto" w:fill="BDD6EE" w:themeFill="accent5" w:themeFillTint="66"/>
            <w:vAlign w:val="center"/>
            <w:hideMark/>
          </w:tcPr>
          <w:p w14:paraId="5D0204AF" w14:textId="77777777" w:rsidR="00CF240E" w:rsidRPr="001911B5" w:rsidRDefault="00CF240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ESTÁNDARES DE APRENDIZAJE</w:t>
            </w:r>
          </w:p>
        </w:tc>
        <w:tc>
          <w:tcPr>
            <w:tcW w:w="992" w:type="dxa"/>
            <w:tcBorders>
              <w:bottom w:val="single" w:sz="4" w:space="0" w:color="auto"/>
            </w:tcBorders>
            <w:shd w:val="clear" w:color="auto" w:fill="BDD6EE" w:themeFill="accent5" w:themeFillTint="66"/>
            <w:vAlign w:val="center"/>
            <w:hideMark/>
          </w:tcPr>
          <w:p w14:paraId="6DD58898" w14:textId="77777777" w:rsidR="00CF240E" w:rsidRPr="001911B5" w:rsidRDefault="00CF240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COMP</w:t>
            </w:r>
          </w:p>
        </w:tc>
      </w:tr>
      <w:tr w:rsidR="00CF240E" w:rsidRPr="001911B5" w14:paraId="6194AE6B" w14:textId="77777777" w:rsidTr="00CF240E">
        <w:trPr>
          <w:trHeight w:val="212"/>
        </w:trPr>
        <w:tc>
          <w:tcPr>
            <w:tcW w:w="1849" w:type="dxa"/>
            <w:vMerge w:val="restart"/>
            <w:shd w:val="clear" w:color="auto" w:fill="DEEAF6" w:themeFill="accent5" w:themeFillTint="33"/>
            <w:vAlign w:val="center"/>
            <w:hideMark/>
          </w:tcPr>
          <w:p w14:paraId="1D633A44" w14:textId="77777777" w:rsidR="00CF240E" w:rsidRPr="001911B5" w:rsidRDefault="00CF240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BLOQUE 1</w:t>
            </w:r>
          </w:p>
          <w:p w14:paraId="02BEF4E9" w14:textId="77777777" w:rsidR="00CF240E" w:rsidRPr="001911B5" w:rsidRDefault="00CF240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A APLICAR EN TODAS LAS UNIDADES DIDÁCTICAS</w:t>
            </w:r>
          </w:p>
        </w:tc>
        <w:tc>
          <w:tcPr>
            <w:tcW w:w="2899" w:type="dxa"/>
            <w:shd w:val="clear" w:color="auto" w:fill="DEEAF6" w:themeFill="accent5" w:themeFillTint="33"/>
            <w:vAlign w:val="center"/>
            <w:hideMark/>
          </w:tcPr>
          <w:p w14:paraId="72C63694" w14:textId="77777777" w:rsidR="00CF240E" w:rsidRPr="001911B5" w:rsidRDefault="00CF240E" w:rsidP="00D81DE5">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1.1. Expresar verbalmente, de forma razonada, el proceso seguido para resolver un problema.</w:t>
            </w:r>
          </w:p>
        </w:tc>
        <w:tc>
          <w:tcPr>
            <w:tcW w:w="4820" w:type="dxa"/>
            <w:shd w:val="clear" w:color="auto" w:fill="DEEAF6" w:themeFill="accent5" w:themeFillTint="33"/>
            <w:vAlign w:val="center"/>
            <w:hideMark/>
          </w:tcPr>
          <w:p w14:paraId="3928C4DA" w14:textId="77777777" w:rsidR="00CF240E" w:rsidRPr="001911B5" w:rsidRDefault="00CF240E" w:rsidP="00D81DE5">
            <w:pPr>
              <w:tabs>
                <w:tab w:val="left" w:pos="430"/>
              </w:tabs>
              <w:spacing w:before="100" w:beforeAutospacing="1" w:after="100" w:afterAutospacing="1" w:line="264" w:lineRule="auto"/>
              <w:jc w:val="both"/>
              <w:rPr>
                <w:rFonts w:ascii="Arial" w:hAnsi="Arial" w:cs="Arial"/>
                <w:b/>
                <w:color w:val="000000" w:themeColor="text1"/>
                <w:sz w:val="18"/>
                <w:szCs w:val="18"/>
              </w:rPr>
            </w:pPr>
            <w:r w:rsidRPr="001911B5">
              <w:rPr>
                <w:rFonts w:ascii="Arial" w:hAnsi="Arial" w:cs="Arial"/>
                <w:color w:val="000000" w:themeColor="text1"/>
                <w:sz w:val="18"/>
                <w:szCs w:val="18"/>
              </w:rPr>
              <w:t>1.1.1 Expresa verbalmente, de forma razonada, el proceso seguido en la resolución de un problema, con el rigor y la precisión adecuada.</w:t>
            </w:r>
          </w:p>
        </w:tc>
        <w:tc>
          <w:tcPr>
            <w:tcW w:w="992" w:type="dxa"/>
            <w:shd w:val="clear" w:color="auto" w:fill="DEEAF6" w:themeFill="accent5" w:themeFillTint="33"/>
            <w:vAlign w:val="center"/>
            <w:hideMark/>
          </w:tcPr>
          <w:p w14:paraId="71D9EE61" w14:textId="77777777" w:rsidR="00CF240E" w:rsidRPr="001911B5" w:rsidRDefault="00CF240E"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509AE6CA" w14:textId="77777777" w:rsidR="00CF240E" w:rsidRPr="001911B5" w:rsidRDefault="00CF240E" w:rsidP="00D81DE5">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CMCT</w:t>
            </w:r>
          </w:p>
        </w:tc>
      </w:tr>
      <w:tr w:rsidR="00CF240E" w:rsidRPr="001911B5" w14:paraId="64532A09" w14:textId="77777777" w:rsidTr="00CF240E">
        <w:trPr>
          <w:trHeight w:val="229"/>
        </w:trPr>
        <w:tc>
          <w:tcPr>
            <w:tcW w:w="1849" w:type="dxa"/>
            <w:vMerge/>
            <w:shd w:val="clear" w:color="auto" w:fill="DEEAF6" w:themeFill="accent5" w:themeFillTint="33"/>
            <w:vAlign w:val="center"/>
          </w:tcPr>
          <w:p w14:paraId="1FF43350" w14:textId="77777777" w:rsidR="00CF240E" w:rsidRPr="001911B5" w:rsidRDefault="00CF240E" w:rsidP="00D81DE5">
            <w:pPr>
              <w:jc w:val="center"/>
              <w:rPr>
                <w:rFonts w:ascii="Arial" w:eastAsia="Times New Roman" w:hAnsi="Arial" w:cs="Arial"/>
                <w:color w:val="000000" w:themeColor="text1"/>
                <w:sz w:val="18"/>
                <w:szCs w:val="18"/>
              </w:rPr>
            </w:pPr>
          </w:p>
        </w:tc>
        <w:tc>
          <w:tcPr>
            <w:tcW w:w="2899" w:type="dxa"/>
            <w:tcBorders>
              <w:bottom w:val="single" w:sz="4" w:space="0" w:color="auto"/>
            </w:tcBorders>
            <w:shd w:val="clear" w:color="auto" w:fill="DEEAF6" w:themeFill="accent5" w:themeFillTint="33"/>
            <w:vAlign w:val="center"/>
          </w:tcPr>
          <w:p w14:paraId="766141E0" w14:textId="77777777" w:rsidR="00CF240E" w:rsidRPr="001911B5" w:rsidRDefault="00CF240E" w:rsidP="00D81DE5">
            <w:pPr>
              <w:autoSpaceDE w:val="0"/>
              <w:adjustRightInd w:val="0"/>
              <w:jc w:val="both"/>
              <w:rPr>
                <w:rFonts w:ascii="Arial" w:hAnsi="Arial" w:cs="Arial"/>
                <w:color w:val="000000" w:themeColor="text1"/>
                <w:sz w:val="18"/>
                <w:szCs w:val="18"/>
              </w:rPr>
            </w:pPr>
            <w:r w:rsidRPr="001911B5">
              <w:rPr>
                <w:rFonts w:ascii="Arial" w:hAnsi="Arial" w:cs="Arial"/>
                <w:color w:val="000000" w:themeColor="text1"/>
                <w:sz w:val="18"/>
                <w:szCs w:val="18"/>
              </w:rPr>
              <w:t>1.4. Profundizar en problemas resueltos planteando pequeñas variaciones en los datos, otras preguntas, otros contextos, etc.</w:t>
            </w:r>
          </w:p>
        </w:tc>
        <w:tc>
          <w:tcPr>
            <w:tcW w:w="4820" w:type="dxa"/>
            <w:tcBorders>
              <w:bottom w:val="single" w:sz="4" w:space="0" w:color="auto"/>
            </w:tcBorders>
            <w:shd w:val="clear" w:color="auto" w:fill="DEEAF6" w:themeFill="accent5" w:themeFillTint="33"/>
            <w:vAlign w:val="center"/>
          </w:tcPr>
          <w:p w14:paraId="0C2928F6" w14:textId="77777777" w:rsidR="00CF240E" w:rsidRPr="001911B5" w:rsidRDefault="00CF240E"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1.4.2 Se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992" w:type="dxa"/>
            <w:tcBorders>
              <w:bottom w:val="single" w:sz="4" w:space="0" w:color="auto"/>
            </w:tcBorders>
            <w:shd w:val="clear" w:color="auto" w:fill="DEEAF6" w:themeFill="accent5" w:themeFillTint="33"/>
            <w:vAlign w:val="center"/>
          </w:tcPr>
          <w:p w14:paraId="1BFF4549" w14:textId="77777777" w:rsidR="00CF240E" w:rsidRPr="001911B5" w:rsidRDefault="00CF240E"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2B11C8DA" w14:textId="77777777" w:rsidR="00CF240E" w:rsidRPr="001911B5" w:rsidRDefault="00CF240E"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CF240E" w:rsidRPr="001911B5" w14:paraId="7ABB60F5" w14:textId="77777777" w:rsidTr="00CF240E">
        <w:trPr>
          <w:trHeight w:val="229"/>
        </w:trPr>
        <w:tc>
          <w:tcPr>
            <w:tcW w:w="1849" w:type="dxa"/>
            <w:vMerge/>
            <w:shd w:val="clear" w:color="auto" w:fill="DEEAF6" w:themeFill="accent5" w:themeFillTint="33"/>
            <w:vAlign w:val="center"/>
            <w:hideMark/>
          </w:tcPr>
          <w:p w14:paraId="6580891D" w14:textId="77777777" w:rsidR="00CF240E" w:rsidRPr="001911B5" w:rsidRDefault="00CF240E" w:rsidP="00D81DE5">
            <w:pPr>
              <w:jc w:val="center"/>
              <w:rPr>
                <w:rFonts w:ascii="Arial" w:eastAsia="Times New Roman" w:hAnsi="Arial" w:cs="Arial"/>
                <w:color w:val="000000" w:themeColor="text1"/>
                <w:sz w:val="18"/>
                <w:szCs w:val="18"/>
              </w:rPr>
            </w:pPr>
          </w:p>
        </w:tc>
        <w:tc>
          <w:tcPr>
            <w:tcW w:w="2899" w:type="dxa"/>
            <w:vMerge w:val="restart"/>
            <w:shd w:val="clear" w:color="auto" w:fill="DEEAF6" w:themeFill="accent5" w:themeFillTint="33"/>
            <w:vAlign w:val="center"/>
            <w:hideMark/>
          </w:tcPr>
          <w:p w14:paraId="0F190251" w14:textId="77777777" w:rsidR="00CF240E" w:rsidRPr="001911B5" w:rsidRDefault="00CF240E" w:rsidP="00D81DE5">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1.8 Desarrollar y cultivar las actitudes personales inherentes al quehacer matemático.</w:t>
            </w:r>
          </w:p>
        </w:tc>
        <w:tc>
          <w:tcPr>
            <w:tcW w:w="4820" w:type="dxa"/>
            <w:shd w:val="clear" w:color="auto" w:fill="DEEAF6" w:themeFill="accent5" w:themeFillTint="33"/>
            <w:vAlign w:val="center"/>
            <w:hideMark/>
          </w:tcPr>
          <w:p w14:paraId="4D7A9CAA" w14:textId="77777777" w:rsidR="00CF240E" w:rsidRPr="001911B5" w:rsidRDefault="00CF240E"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1.8.1 Desarrolla actitudes adecuadas para el trabajo en matemáticas: esfuerzo, perseverancia, flexibilidad y aceptación de la crítica razonada.</w:t>
            </w:r>
          </w:p>
        </w:tc>
        <w:tc>
          <w:tcPr>
            <w:tcW w:w="992" w:type="dxa"/>
            <w:shd w:val="clear" w:color="auto" w:fill="DEEAF6" w:themeFill="accent5" w:themeFillTint="33"/>
            <w:vAlign w:val="center"/>
            <w:hideMark/>
          </w:tcPr>
          <w:p w14:paraId="62F8B818" w14:textId="77777777" w:rsidR="00CF240E" w:rsidRPr="001911B5" w:rsidRDefault="00CF240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CF240E" w:rsidRPr="001911B5" w14:paraId="13C54E3E" w14:textId="77777777" w:rsidTr="00CF240E">
        <w:trPr>
          <w:trHeight w:val="227"/>
        </w:trPr>
        <w:tc>
          <w:tcPr>
            <w:tcW w:w="1849" w:type="dxa"/>
            <w:vMerge/>
            <w:shd w:val="clear" w:color="auto" w:fill="DEEAF6" w:themeFill="accent5" w:themeFillTint="33"/>
            <w:vAlign w:val="center"/>
            <w:hideMark/>
          </w:tcPr>
          <w:p w14:paraId="01839AF5" w14:textId="77777777" w:rsidR="00CF240E" w:rsidRPr="001911B5" w:rsidRDefault="00CF240E" w:rsidP="00D81DE5">
            <w:pPr>
              <w:jc w:val="center"/>
              <w:rPr>
                <w:rFonts w:ascii="Arial" w:eastAsia="Times New Roman" w:hAnsi="Arial" w:cs="Arial"/>
                <w:color w:val="000000" w:themeColor="text1"/>
                <w:sz w:val="18"/>
                <w:szCs w:val="18"/>
              </w:rPr>
            </w:pPr>
          </w:p>
        </w:tc>
        <w:tc>
          <w:tcPr>
            <w:tcW w:w="2899" w:type="dxa"/>
            <w:vMerge/>
            <w:shd w:val="clear" w:color="auto" w:fill="DEEAF6" w:themeFill="accent5" w:themeFillTint="33"/>
            <w:vAlign w:val="center"/>
            <w:hideMark/>
          </w:tcPr>
          <w:p w14:paraId="30DC5789" w14:textId="77777777" w:rsidR="00CF240E" w:rsidRPr="001911B5" w:rsidRDefault="00CF240E" w:rsidP="00D81DE5">
            <w:pPr>
              <w:jc w:val="both"/>
              <w:rPr>
                <w:rFonts w:ascii="Arial" w:eastAsia="Times New Roman" w:hAnsi="Arial" w:cs="Arial"/>
                <w:color w:val="000000" w:themeColor="text1"/>
                <w:sz w:val="18"/>
                <w:szCs w:val="18"/>
              </w:rPr>
            </w:pPr>
          </w:p>
        </w:tc>
        <w:tc>
          <w:tcPr>
            <w:tcW w:w="4820" w:type="dxa"/>
            <w:shd w:val="clear" w:color="auto" w:fill="DEEAF6" w:themeFill="accent5" w:themeFillTint="33"/>
            <w:vAlign w:val="center"/>
            <w:hideMark/>
          </w:tcPr>
          <w:p w14:paraId="1016F4E5" w14:textId="77777777" w:rsidR="00CF240E" w:rsidRPr="001911B5" w:rsidRDefault="00CF240E"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1.8.2 Se plantea la resolución de retos y problemas con la precisión, esmero e interés adecuados al nivel educativo y a la dificultad de la situación.</w:t>
            </w:r>
          </w:p>
        </w:tc>
        <w:tc>
          <w:tcPr>
            <w:tcW w:w="992" w:type="dxa"/>
            <w:shd w:val="clear" w:color="auto" w:fill="DEEAF6" w:themeFill="accent5" w:themeFillTint="33"/>
            <w:vAlign w:val="center"/>
            <w:hideMark/>
          </w:tcPr>
          <w:p w14:paraId="6C1243F0" w14:textId="77777777" w:rsidR="00CF240E" w:rsidRPr="001911B5" w:rsidRDefault="00CF240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CF240E" w:rsidRPr="001911B5" w14:paraId="7748BDC9" w14:textId="77777777" w:rsidTr="00CF240E">
        <w:trPr>
          <w:trHeight w:val="315"/>
        </w:trPr>
        <w:tc>
          <w:tcPr>
            <w:tcW w:w="1849" w:type="dxa"/>
            <w:vMerge/>
            <w:shd w:val="clear" w:color="auto" w:fill="DEEAF6" w:themeFill="accent5" w:themeFillTint="33"/>
            <w:vAlign w:val="center"/>
            <w:hideMark/>
          </w:tcPr>
          <w:p w14:paraId="13576456" w14:textId="77777777" w:rsidR="00CF240E" w:rsidRPr="001911B5" w:rsidRDefault="00CF240E" w:rsidP="00D81DE5">
            <w:pPr>
              <w:jc w:val="center"/>
              <w:rPr>
                <w:rFonts w:ascii="Arial" w:eastAsia="Times New Roman" w:hAnsi="Arial" w:cs="Arial"/>
                <w:color w:val="000000" w:themeColor="text1"/>
                <w:sz w:val="18"/>
                <w:szCs w:val="18"/>
              </w:rPr>
            </w:pPr>
          </w:p>
        </w:tc>
        <w:tc>
          <w:tcPr>
            <w:tcW w:w="2899" w:type="dxa"/>
            <w:vMerge/>
            <w:shd w:val="clear" w:color="auto" w:fill="DEEAF6" w:themeFill="accent5" w:themeFillTint="33"/>
            <w:vAlign w:val="center"/>
            <w:hideMark/>
          </w:tcPr>
          <w:p w14:paraId="1AB0F97B" w14:textId="77777777" w:rsidR="00CF240E" w:rsidRPr="001911B5" w:rsidRDefault="00CF240E" w:rsidP="00D81DE5">
            <w:pPr>
              <w:jc w:val="both"/>
              <w:rPr>
                <w:rFonts w:ascii="Arial" w:eastAsia="Times New Roman" w:hAnsi="Arial" w:cs="Arial"/>
                <w:color w:val="000000" w:themeColor="text1"/>
                <w:sz w:val="18"/>
                <w:szCs w:val="18"/>
              </w:rPr>
            </w:pPr>
          </w:p>
        </w:tc>
        <w:tc>
          <w:tcPr>
            <w:tcW w:w="4820" w:type="dxa"/>
            <w:shd w:val="clear" w:color="auto" w:fill="DEEAF6" w:themeFill="accent5" w:themeFillTint="33"/>
            <w:vAlign w:val="center"/>
            <w:hideMark/>
          </w:tcPr>
          <w:p w14:paraId="125FAD0B" w14:textId="77777777" w:rsidR="00CF240E" w:rsidRPr="001911B5" w:rsidRDefault="00CF240E"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1.8.4 Desarrolla actitudes de curiosidad e indagación, junto con hábitos de plantear/se preguntas y buscar respuestas adecuadas, tanto en el estudio de los conceptos como en la resolución de problemas.</w:t>
            </w:r>
          </w:p>
        </w:tc>
        <w:tc>
          <w:tcPr>
            <w:tcW w:w="992" w:type="dxa"/>
            <w:shd w:val="clear" w:color="auto" w:fill="DEEAF6" w:themeFill="accent5" w:themeFillTint="33"/>
            <w:vAlign w:val="center"/>
            <w:hideMark/>
          </w:tcPr>
          <w:p w14:paraId="25F9B2B0" w14:textId="77777777" w:rsidR="00CF240E" w:rsidRPr="001911B5" w:rsidRDefault="00CF240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CF240E" w:rsidRPr="001911B5" w14:paraId="6E923C24" w14:textId="77777777" w:rsidTr="00CF240E">
        <w:trPr>
          <w:trHeight w:val="315"/>
        </w:trPr>
        <w:tc>
          <w:tcPr>
            <w:tcW w:w="1849" w:type="dxa"/>
            <w:vMerge/>
            <w:tcBorders>
              <w:bottom w:val="single" w:sz="4" w:space="0" w:color="auto"/>
            </w:tcBorders>
            <w:shd w:val="clear" w:color="auto" w:fill="DEEAF6" w:themeFill="accent5" w:themeFillTint="33"/>
            <w:vAlign w:val="center"/>
            <w:hideMark/>
          </w:tcPr>
          <w:p w14:paraId="3CA5BC89" w14:textId="77777777" w:rsidR="00CF240E" w:rsidRPr="001911B5" w:rsidRDefault="00CF240E" w:rsidP="00D81DE5">
            <w:pPr>
              <w:jc w:val="center"/>
              <w:rPr>
                <w:rFonts w:ascii="Arial" w:eastAsia="Times New Roman" w:hAnsi="Arial" w:cs="Arial"/>
                <w:color w:val="000000" w:themeColor="text1"/>
                <w:sz w:val="18"/>
                <w:szCs w:val="18"/>
              </w:rPr>
            </w:pPr>
          </w:p>
        </w:tc>
        <w:tc>
          <w:tcPr>
            <w:tcW w:w="2899" w:type="dxa"/>
            <w:tcBorders>
              <w:bottom w:val="single" w:sz="4" w:space="0" w:color="auto"/>
            </w:tcBorders>
            <w:shd w:val="clear" w:color="auto" w:fill="DEEAF6" w:themeFill="accent5" w:themeFillTint="33"/>
            <w:vAlign w:val="center"/>
            <w:hideMark/>
          </w:tcPr>
          <w:p w14:paraId="3D3E98A1" w14:textId="77777777" w:rsidR="00CF240E" w:rsidRPr="001911B5" w:rsidRDefault="00CF240E" w:rsidP="00D81DE5">
            <w:pPr>
              <w:autoSpaceDE w:val="0"/>
              <w:adjustRightInd w:val="0"/>
              <w:jc w:val="both"/>
              <w:rPr>
                <w:rFonts w:ascii="Arial" w:hAnsi="Arial" w:cs="Arial"/>
                <w:color w:val="000000" w:themeColor="text1"/>
                <w:sz w:val="18"/>
                <w:szCs w:val="18"/>
                <w:highlight w:val="yellow"/>
              </w:rPr>
            </w:pPr>
            <w:r w:rsidRPr="001911B5">
              <w:rPr>
                <w:rFonts w:ascii="Arial" w:hAnsi="Arial" w:cs="Arial"/>
                <w:color w:val="000000" w:themeColor="text1"/>
                <w:sz w:val="18"/>
                <w:szCs w:val="18"/>
              </w:rPr>
              <w:t>1.</w:t>
            </w:r>
            <w:proofErr w:type="gramStart"/>
            <w:r w:rsidRPr="001911B5">
              <w:rPr>
                <w:rFonts w:ascii="Arial" w:hAnsi="Arial" w:cs="Arial"/>
                <w:color w:val="000000" w:themeColor="text1"/>
                <w:sz w:val="18"/>
                <w:szCs w:val="18"/>
              </w:rPr>
              <w:t>12 .Utilizar</w:t>
            </w:r>
            <w:proofErr w:type="gramEnd"/>
            <w:r w:rsidRPr="001911B5">
              <w:rPr>
                <w:rFonts w:ascii="Arial" w:hAnsi="Arial" w:cs="Arial"/>
                <w:color w:val="000000" w:themeColor="text1"/>
                <w:sz w:val="18"/>
                <w:szCs w:val="18"/>
              </w:rPr>
              <w:t xml:space="preserve">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4820" w:type="dxa"/>
            <w:tcBorders>
              <w:bottom w:val="single" w:sz="4" w:space="0" w:color="auto"/>
            </w:tcBorders>
            <w:shd w:val="clear" w:color="auto" w:fill="DEEAF6" w:themeFill="accent5" w:themeFillTint="33"/>
            <w:vAlign w:val="center"/>
            <w:hideMark/>
          </w:tcPr>
          <w:p w14:paraId="25722F8F" w14:textId="77777777" w:rsidR="00CF240E" w:rsidRPr="001911B5" w:rsidRDefault="00CF240E"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1.12.2 Utiliza los recursos creados para apoyar la exposición oral de los contenidos trabajados en el aula.</w:t>
            </w:r>
          </w:p>
        </w:tc>
        <w:tc>
          <w:tcPr>
            <w:tcW w:w="992" w:type="dxa"/>
            <w:tcBorders>
              <w:bottom w:val="single" w:sz="4" w:space="0" w:color="auto"/>
            </w:tcBorders>
            <w:shd w:val="clear" w:color="auto" w:fill="DEEAF6" w:themeFill="accent5" w:themeFillTint="33"/>
            <w:vAlign w:val="center"/>
            <w:hideMark/>
          </w:tcPr>
          <w:p w14:paraId="39EE3FBD" w14:textId="77777777" w:rsidR="00CF240E" w:rsidRPr="001911B5" w:rsidRDefault="00CF240E"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041010A1" w14:textId="77777777" w:rsidR="00CF240E" w:rsidRPr="001911B5" w:rsidRDefault="00CF240E"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775A913B" w14:textId="77777777" w:rsidR="00CF240E" w:rsidRPr="001911B5" w:rsidRDefault="00CF240E"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68826CBB" w14:textId="77777777" w:rsidR="00CF240E" w:rsidRPr="001911B5" w:rsidRDefault="00CF240E" w:rsidP="00D81DE5">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CAA</w:t>
            </w:r>
          </w:p>
        </w:tc>
      </w:tr>
    </w:tbl>
    <w:tbl>
      <w:tblPr>
        <w:tblStyle w:val="Tablaconcuadrcula2"/>
        <w:tblW w:w="0" w:type="auto"/>
        <w:tblInd w:w="113" w:type="dxa"/>
        <w:shd w:val="clear" w:color="auto" w:fill="E2EFD9" w:themeFill="accent6" w:themeFillTint="33"/>
        <w:tblLook w:val="04A0" w:firstRow="1" w:lastRow="0" w:firstColumn="1" w:lastColumn="0" w:noHBand="0" w:noVBand="1"/>
      </w:tblPr>
      <w:tblGrid>
        <w:gridCol w:w="627"/>
        <w:gridCol w:w="275"/>
        <w:gridCol w:w="120"/>
        <w:gridCol w:w="2256"/>
        <w:gridCol w:w="425"/>
        <w:gridCol w:w="608"/>
        <w:gridCol w:w="30"/>
        <w:gridCol w:w="201"/>
        <w:gridCol w:w="955"/>
        <w:gridCol w:w="4959"/>
      </w:tblGrid>
      <w:tr w:rsidR="00CF240E" w:rsidRPr="001911B5" w14:paraId="1169B932" w14:textId="77777777" w:rsidTr="00CF240E">
        <w:tc>
          <w:tcPr>
            <w:tcW w:w="10456" w:type="dxa"/>
            <w:gridSpan w:val="10"/>
            <w:shd w:val="clear" w:color="auto" w:fill="E2EFD9" w:themeFill="accent6" w:themeFillTint="33"/>
          </w:tcPr>
          <w:p w14:paraId="5A47D957"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Bloque 2. Números y álgebra.</w:t>
            </w:r>
            <w:r w:rsidRPr="001911B5">
              <w:rPr>
                <w:rFonts w:ascii="Arial" w:hAnsi="Arial" w:cs="Arial"/>
                <w:color w:val="000000" w:themeColor="text1"/>
                <w:sz w:val="18"/>
                <w:szCs w:val="18"/>
              </w:rPr>
              <w:fldChar w:fldCharType="begin"/>
            </w:r>
            <w:r w:rsidRPr="001911B5">
              <w:rPr>
                <w:rFonts w:ascii="Arial" w:eastAsia="Calibri" w:hAnsi="Arial" w:cs="Arial"/>
                <w:color w:val="000000" w:themeColor="text1"/>
                <w:sz w:val="18"/>
                <w:szCs w:val="18"/>
              </w:rPr>
              <w:instrText xml:space="preserve"> XE "21.3. Contenidos/Criterios de Evaluación y Competencias Clave que desarrollan/Estándares de Aprendizaje Evaluables de las Matemáticas Aplicadas a las Ciencias Sociales I." </w:instrText>
            </w:r>
            <w:r w:rsidRPr="001911B5">
              <w:rPr>
                <w:rFonts w:ascii="Arial" w:hAnsi="Arial" w:cs="Arial"/>
                <w:color w:val="000000" w:themeColor="text1"/>
                <w:sz w:val="18"/>
                <w:szCs w:val="18"/>
              </w:rPr>
              <w:fldChar w:fldCharType="end"/>
            </w:r>
          </w:p>
        </w:tc>
      </w:tr>
      <w:tr w:rsidR="00CF240E" w:rsidRPr="001911B5" w14:paraId="34D0AB4A" w14:textId="77777777" w:rsidTr="00CF240E">
        <w:tc>
          <w:tcPr>
            <w:tcW w:w="10456" w:type="dxa"/>
            <w:gridSpan w:val="10"/>
            <w:shd w:val="clear" w:color="auto" w:fill="E2EFD9" w:themeFill="accent6" w:themeFillTint="33"/>
          </w:tcPr>
          <w:p w14:paraId="1FF27DCC"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Números racionales e irracionales. El número real. Representación en la recta real. Intervalos. Aproximación decimal de un número real. Estimación, redondeo y errores. Operaciones con números reales. Potencias y radicales. La notación científica. Operaciones con capitales financieros. Aumentos y disminuciones porcentuales. Tasas e intereses bancarios. Capitalización y amortización simple y compuesta. Utilización de recursos tecnológicos para la realización de cálculos financieros y mercantiles. Polinomios. Operaciones. Descomposición en factores. Ecuaciones lineales, cuadráticas y reducibles a ellas, exponenciales y logarítmicas. Aplicaciones. Sistemas de ecuaciones de primer y segundo grado con dos incógnitas. Clasificación. Aplicaciones. Interpretación geométrica. Sistemas de ecuaciones lineales con tres incógnitas: método de Gauss.</w:t>
            </w:r>
          </w:p>
        </w:tc>
      </w:tr>
      <w:tr w:rsidR="00CF240E" w:rsidRPr="001911B5" w14:paraId="64C5A1A7" w14:textId="77777777" w:rsidTr="00CF240E">
        <w:trPr>
          <w:trHeight w:val="2562"/>
        </w:trPr>
        <w:tc>
          <w:tcPr>
            <w:tcW w:w="627" w:type="dxa"/>
            <w:shd w:val="clear" w:color="auto" w:fill="E2EFD9" w:themeFill="accent6" w:themeFillTint="33"/>
          </w:tcPr>
          <w:p w14:paraId="444807DB"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p>
        </w:tc>
        <w:tc>
          <w:tcPr>
            <w:tcW w:w="3076" w:type="dxa"/>
            <w:gridSpan w:val="4"/>
            <w:shd w:val="clear" w:color="auto" w:fill="E2EFD9" w:themeFill="accent6" w:themeFillTint="33"/>
          </w:tcPr>
          <w:p w14:paraId="1A622B76"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1. Utilizar los números reales y sus operaciones para presentar e intercambiar información, controlando y ajustando el margen de error exigible en cada situación, en situaciones de la vida real. </w:t>
            </w:r>
          </w:p>
          <w:p w14:paraId="432A0B9C"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p>
        </w:tc>
        <w:tc>
          <w:tcPr>
            <w:tcW w:w="839" w:type="dxa"/>
            <w:gridSpan w:val="3"/>
            <w:shd w:val="clear" w:color="auto" w:fill="E2EFD9" w:themeFill="accent6" w:themeFillTint="33"/>
          </w:tcPr>
          <w:p w14:paraId="3F0C2CEC"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CCL, CMCT, CSC.</w:t>
            </w:r>
          </w:p>
        </w:tc>
        <w:tc>
          <w:tcPr>
            <w:tcW w:w="5914" w:type="dxa"/>
            <w:gridSpan w:val="2"/>
            <w:shd w:val="clear" w:color="auto" w:fill="E2EFD9" w:themeFill="accent6" w:themeFillTint="33"/>
          </w:tcPr>
          <w:p w14:paraId="51243DFD"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1.1. Reconoce los distintos tipos números reales (racionales e irracionales) y los utiliza para representar e interpretar adecuadamente información cuantitativa. </w:t>
            </w:r>
          </w:p>
          <w:p w14:paraId="766AEE18"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1.2. Representa correctamente información cuantitativa mediante intervalos de números reales. </w:t>
            </w:r>
          </w:p>
          <w:p w14:paraId="7F3D1117"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1.3. Compara, ordena, clasifica y representa gráficamente, cualquier número real. 1.4. Realiza operaciones numéricas con eficacia, empleando cálculo mental, algoritmos de lápiz y papel, calculadora o programas informáticos, utilizando la notación más adecuada y controlando el error cuando aproxima. </w:t>
            </w:r>
          </w:p>
        </w:tc>
      </w:tr>
      <w:tr w:rsidR="00CF240E" w:rsidRPr="001911B5" w14:paraId="2CBA1471" w14:textId="77777777" w:rsidTr="00CF240E">
        <w:tc>
          <w:tcPr>
            <w:tcW w:w="627" w:type="dxa"/>
            <w:shd w:val="clear" w:color="auto" w:fill="E2EFD9" w:themeFill="accent6" w:themeFillTint="33"/>
          </w:tcPr>
          <w:p w14:paraId="0CD77F14"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p>
        </w:tc>
        <w:tc>
          <w:tcPr>
            <w:tcW w:w="3076" w:type="dxa"/>
            <w:gridSpan w:val="4"/>
            <w:shd w:val="clear" w:color="auto" w:fill="E2EFD9" w:themeFill="accent6" w:themeFillTint="33"/>
          </w:tcPr>
          <w:p w14:paraId="4232DBF6"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2. Resolver problemas de capitalización y amortización simple y compuesta utilizando parámetros de aritmética mercantil empleando métodos de cálculo o los recursos tecnológicos más adecuados. CMCT, CD.</w:t>
            </w:r>
          </w:p>
        </w:tc>
        <w:tc>
          <w:tcPr>
            <w:tcW w:w="839" w:type="dxa"/>
            <w:gridSpan w:val="3"/>
            <w:shd w:val="clear" w:color="auto" w:fill="E2EFD9" w:themeFill="accent6" w:themeFillTint="33"/>
          </w:tcPr>
          <w:p w14:paraId="342D40F6"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p>
        </w:tc>
        <w:tc>
          <w:tcPr>
            <w:tcW w:w="5914" w:type="dxa"/>
            <w:gridSpan w:val="2"/>
            <w:shd w:val="clear" w:color="auto" w:fill="E2EFD9" w:themeFill="accent6" w:themeFillTint="33"/>
          </w:tcPr>
          <w:p w14:paraId="4721F9FA"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2.1. Interpreta y contextualiza correctamente parámetros de aritmética mercantil para resolver problemas del ámbito de la matemática financiera (capitalización y amortización simple y compuesta) mediante los métodos de cálculo o recursos tecnológicos apropiados. </w:t>
            </w:r>
          </w:p>
          <w:p w14:paraId="7D7FD923"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p>
        </w:tc>
      </w:tr>
      <w:tr w:rsidR="00CF240E" w:rsidRPr="001911B5" w14:paraId="773F11F8" w14:textId="77777777" w:rsidTr="00CF240E">
        <w:tc>
          <w:tcPr>
            <w:tcW w:w="627" w:type="dxa"/>
            <w:shd w:val="clear" w:color="auto" w:fill="E2EFD9" w:themeFill="accent6" w:themeFillTint="33"/>
          </w:tcPr>
          <w:p w14:paraId="79AF0F49"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p>
        </w:tc>
        <w:tc>
          <w:tcPr>
            <w:tcW w:w="3076" w:type="dxa"/>
            <w:gridSpan w:val="4"/>
            <w:shd w:val="clear" w:color="auto" w:fill="E2EFD9" w:themeFill="accent6" w:themeFillTint="33"/>
          </w:tcPr>
          <w:p w14:paraId="4BEA545C"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3. Transcribir a lenguaje algebraico o gráfico situaciones relativas a las ciencias sociales y utilizar técnicas matemáticas y herramientas tecnológicas apropiadas para resolver problemas reales, dando una interpretación de las soluciones obtenidas en contextos particulares. CCL, CMCT, CD, CAA.</w:t>
            </w:r>
          </w:p>
        </w:tc>
        <w:tc>
          <w:tcPr>
            <w:tcW w:w="839" w:type="dxa"/>
            <w:gridSpan w:val="3"/>
            <w:shd w:val="clear" w:color="auto" w:fill="E2EFD9" w:themeFill="accent6" w:themeFillTint="33"/>
          </w:tcPr>
          <w:p w14:paraId="77B33C8A"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p>
        </w:tc>
        <w:tc>
          <w:tcPr>
            <w:tcW w:w="5914" w:type="dxa"/>
            <w:gridSpan w:val="2"/>
            <w:shd w:val="clear" w:color="auto" w:fill="E2EFD9" w:themeFill="accent6" w:themeFillTint="33"/>
          </w:tcPr>
          <w:p w14:paraId="32266249"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3.1. Utiliza de manera eficaz el lenguaje algebraico para representar situaciones planteadas en contextos reales. </w:t>
            </w:r>
          </w:p>
          <w:p w14:paraId="05955095"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3.2. Resuelve problemas relativos a las ciencias sociales mediante la utilización de ecuaciones o sistemas de ecuaciones. </w:t>
            </w:r>
          </w:p>
          <w:p w14:paraId="4C41113C" w14:textId="77777777" w:rsidR="00CF240E" w:rsidRPr="001911B5" w:rsidRDefault="00CF240E" w:rsidP="00D81DE5">
            <w:pPr>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3.3. Realiza una interpretación contextualizada de los resultados obtenidos y los expone con claridad</w:t>
            </w:r>
          </w:p>
        </w:tc>
      </w:tr>
      <w:tr w:rsidR="00CF240E" w:rsidRPr="001911B5" w14:paraId="4E4E2864" w14:textId="77777777" w:rsidTr="00CF240E">
        <w:tc>
          <w:tcPr>
            <w:tcW w:w="10456" w:type="dxa"/>
            <w:gridSpan w:val="10"/>
            <w:shd w:val="clear" w:color="auto" w:fill="DEEAF6" w:themeFill="accent5" w:themeFillTint="33"/>
          </w:tcPr>
          <w:p w14:paraId="49A15BDE"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Bloque 3: Análisis.</w:t>
            </w:r>
          </w:p>
        </w:tc>
      </w:tr>
      <w:tr w:rsidR="00CF240E" w:rsidRPr="001911B5" w14:paraId="1F5A6C75" w14:textId="77777777" w:rsidTr="00CF240E">
        <w:tc>
          <w:tcPr>
            <w:tcW w:w="10456" w:type="dxa"/>
            <w:gridSpan w:val="10"/>
            <w:shd w:val="clear" w:color="auto" w:fill="DEEAF6" w:themeFill="accent5" w:themeFillTint="33"/>
          </w:tcPr>
          <w:p w14:paraId="27706EE1"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Resolución de problemas e interpretación de fenómenos sociales y económicos mediante funciones. Funciones reales de variable real. Expresión de una función en forma algebraica, por medio de tablas o de gráficas. Características de una función. Interpolación y extrapolación lineal y cuadrática. Aplicación a problemas reales. Identificación de la expresión analítica y gráfica de las funciones reales de variable real: polinómicas, exponencial y logarítmica, valor absoluto, parte entera, y racionales e irracionales sencillas a partir de sus características. Las funciones definidas a trozos. Idea intuitiva de límite de una función en un punto. Cálculo de límites sencillos. El límite como herramienta para el estudio de la continuidad de una función. Aplicación al estudio de las asíntotas. Tasa de variación media y tasa de variación instantánea. Aplicación al estudio de fenómenos económicos y sociales. Derivada de una función en un punto. Interpretación geométrica. Recta tangente a una función en un punto. Función derivada. Reglas de derivación de funciones elementales sencillas que sean suma, producto, cociente y composición de funciones polinómicas, exponenciales y logarítmicas.</w:t>
            </w:r>
          </w:p>
        </w:tc>
      </w:tr>
      <w:tr w:rsidR="00CF240E" w:rsidRPr="001911B5" w14:paraId="21AB1DFD" w14:textId="77777777" w:rsidTr="00CF240E">
        <w:trPr>
          <w:trHeight w:val="1270"/>
        </w:trPr>
        <w:tc>
          <w:tcPr>
            <w:tcW w:w="1022" w:type="dxa"/>
            <w:gridSpan w:val="3"/>
            <w:shd w:val="clear" w:color="auto" w:fill="DEEAF6" w:themeFill="accent5" w:themeFillTint="33"/>
          </w:tcPr>
          <w:p w14:paraId="6AFF7940"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p>
        </w:tc>
        <w:tc>
          <w:tcPr>
            <w:tcW w:w="3319" w:type="dxa"/>
            <w:gridSpan w:val="4"/>
            <w:shd w:val="clear" w:color="auto" w:fill="DEEAF6" w:themeFill="accent5" w:themeFillTint="33"/>
          </w:tcPr>
          <w:p w14:paraId="65DB87A8"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3. Calcular límites finitos e infinitos de una función en un punto o en el infinito para estimar las tendencias. </w:t>
            </w:r>
          </w:p>
        </w:tc>
        <w:tc>
          <w:tcPr>
            <w:tcW w:w="1156" w:type="dxa"/>
            <w:gridSpan w:val="2"/>
            <w:shd w:val="clear" w:color="auto" w:fill="DEEAF6" w:themeFill="accent5" w:themeFillTint="33"/>
          </w:tcPr>
          <w:p w14:paraId="31F0182A"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CMCT.</w:t>
            </w:r>
          </w:p>
        </w:tc>
        <w:tc>
          <w:tcPr>
            <w:tcW w:w="4959" w:type="dxa"/>
            <w:shd w:val="clear" w:color="auto" w:fill="DEEAF6" w:themeFill="accent5" w:themeFillTint="33"/>
          </w:tcPr>
          <w:p w14:paraId="62DBDED2"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3.1. Calcula límites finitos e infinitos de una función en un punto o en el infinito para estimar las tendencias de una función.</w:t>
            </w:r>
          </w:p>
          <w:p w14:paraId="27FFF6C8"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3.2. Calcula, representa e interpreta las asíntotas de una función en problemas de las ciencias sociales. </w:t>
            </w:r>
          </w:p>
        </w:tc>
      </w:tr>
      <w:tr w:rsidR="00CF240E" w:rsidRPr="001911B5" w14:paraId="1B1F70A3" w14:textId="77777777" w:rsidTr="00CF240E">
        <w:tc>
          <w:tcPr>
            <w:tcW w:w="1022" w:type="dxa"/>
            <w:gridSpan w:val="3"/>
            <w:shd w:val="clear" w:color="auto" w:fill="DEEAF6" w:themeFill="accent5" w:themeFillTint="33"/>
          </w:tcPr>
          <w:p w14:paraId="3CAA49C1"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p>
        </w:tc>
        <w:tc>
          <w:tcPr>
            <w:tcW w:w="3319" w:type="dxa"/>
            <w:gridSpan w:val="4"/>
            <w:shd w:val="clear" w:color="auto" w:fill="DEEAF6" w:themeFill="accent5" w:themeFillTint="33"/>
          </w:tcPr>
          <w:p w14:paraId="6BDC3898"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4. Conocer el concepto de continuidad y estudiar la continuidad en un punto en funciones polinómicas, racionales, logarítmicas y exponenciales. </w:t>
            </w:r>
          </w:p>
        </w:tc>
        <w:tc>
          <w:tcPr>
            <w:tcW w:w="1156" w:type="dxa"/>
            <w:gridSpan w:val="2"/>
            <w:shd w:val="clear" w:color="auto" w:fill="DEEAF6" w:themeFill="accent5" w:themeFillTint="33"/>
          </w:tcPr>
          <w:p w14:paraId="7A7403FE"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CMCT, CAA.</w:t>
            </w:r>
          </w:p>
        </w:tc>
        <w:tc>
          <w:tcPr>
            <w:tcW w:w="4959" w:type="dxa"/>
            <w:shd w:val="clear" w:color="auto" w:fill="DEEAF6" w:themeFill="accent5" w:themeFillTint="33"/>
          </w:tcPr>
          <w:p w14:paraId="4FCA3350"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4.1. Examina, analiza y determina la continuidad de la función en un punto para extraer conclusiones en situaciones reales. </w:t>
            </w:r>
          </w:p>
        </w:tc>
      </w:tr>
      <w:tr w:rsidR="00CF240E" w:rsidRPr="001911B5" w14:paraId="5D758A6B" w14:textId="77777777" w:rsidTr="00CF240E">
        <w:tc>
          <w:tcPr>
            <w:tcW w:w="1022" w:type="dxa"/>
            <w:gridSpan w:val="3"/>
            <w:shd w:val="clear" w:color="auto" w:fill="DEEAF6" w:themeFill="accent5" w:themeFillTint="33"/>
          </w:tcPr>
          <w:p w14:paraId="2030D843"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p>
        </w:tc>
        <w:tc>
          <w:tcPr>
            <w:tcW w:w="3319" w:type="dxa"/>
            <w:gridSpan w:val="4"/>
            <w:shd w:val="clear" w:color="auto" w:fill="DEEAF6" w:themeFill="accent5" w:themeFillTint="33"/>
          </w:tcPr>
          <w:p w14:paraId="0CE53AEA"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5. Conocer e interpretar geométricamente la tasa de variación media en un intervalo y en un punto como aproximación al concepto de derivada y utilizar </w:t>
            </w:r>
            <w:proofErr w:type="gramStart"/>
            <w:r w:rsidRPr="001911B5">
              <w:rPr>
                <w:rFonts w:ascii="Arial" w:eastAsia="Calibri" w:hAnsi="Arial" w:cs="Arial"/>
                <w:color w:val="000000" w:themeColor="text1"/>
                <w:sz w:val="18"/>
                <w:szCs w:val="18"/>
              </w:rPr>
              <w:t>las regla</w:t>
            </w:r>
            <w:proofErr w:type="gramEnd"/>
            <w:r w:rsidRPr="001911B5">
              <w:rPr>
                <w:rFonts w:ascii="Arial" w:eastAsia="Calibri" w:hAnsi="Arial" w:cs="Arial"/>
                <w:color w:val="000000" w:themeColor="text1"/>
                <w:sz w:val="18"/>
                <w:szCs w:val="18"/>
              </w:rPr>
              <w:t xml:space="preserve"> de derivación para obtener la función derivada de funciones sencillas y de sus operaciones. </w:t>
            </w:r>
          </w:p>
        </w:tc>
        <w:tc>
          <w:tcPr>
            <w:tcW w:w="1156" w:type="dxa"/>
            <w:gridSpan w:val="2"/>
            <w:shd w:val="clear" w:color="auto" w:fill="DEEAF6" w:themeFill="accent5" w:themeFillTint="33"/>
          </w:tcPr>
          <w:p w14:paraId="5111DBCE"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CMCT, CAA.</w:t>
            </w:r>
          </w:p>
        </w:tc>
        <w:tc>
          <w:tcPr>
            <w:tcW w:w="4959" w:type="dxa"/>
            <w:shd w:val="clear" w:color="auto" w:fill="DEEAF6" w:themeFill="accent5" w:themeFillTint="33"/>
          </w:tcPr>
          <w:p w14:paraId="352A3B8A"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5.1. Calcula la tasa de variación media en un intervalo y la tasa de variación instantánea, las interpreta geométricamente y las emplea para resolver problemas y situaciones extraídas de la vida real.</w:t>
            </w:r>
          </w:p>
          <w:p w14:paraId="303ADE79"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 5.2. Aplica las reglas de derivación para calcular la función derivada de una función y obtener la recta tangente a una función en un punto dado.</w:t>
            </w:r>
          </w:p>
        </w:tc>
      </w:tr>
      <w:tr w:rsidR="00CF240E" w:rsidRPr="001911B5" w14:paraId="1CA4B626" w14:textId="77777777" w:rsidTr="00CF240E">
        <w:tc>
          <w:tcPr>
            <w:tcW w:w="1022" w:type="dxa"/>
            <w:gridSpan w:val="3"/>
            <w:shd w:val="clear" w:color="auto" w:fill="DEEAF6" w:themeFill="accent5" w:themeFillTint="33"/>
          </w:tcPr>
          <w:p w14:paraId="014C0923"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p>
        </w:tc>
        <w:tc>
          <w:tcPr>
            <w:tcW w:w="3319" w:type="dxa"/>
            <w:gridSpan w:val="4"/>
            <w:shd w:val="clear" w:color="auto" w:fill="DEEAF6" w:themeFill="accent5" w:themeFillTint="33"/>
          </w:tcPr>
          <w:p w14:paraId="5D072428"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1. Interpretar y representar gráficas de funciones reales teniendo en cuenta sus características y su relación con fenómenos sociales. </w:t>
            </w:r>
          </w:p>
          <w:p w14:paraId="76030552"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p>
        </w:tc>
        <w:tc>
          <w:tcPr>
            <w:tcW w:w="1156" w:type="dxa"/>
            <w:gridSpan w:val="2"/>
            <w:shd w:val="clear" w:color="auto" w:fill="DEEAF6" w:themeFill="accent5" w:themeFillTint="33"/>
          </w:tcPr>
          <w:p w14:paraId="6CF00A94"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CMCT, CSC.</w:t>
            </w:r>
          </w:p>
        </w:tc>
        <w:tc>
          <w:tcPr>
            <w:tcW w:w="4959" w:type="dxa"/>
            <w:shd w:val="clear" w:color="auto" w:fill="DEEAF6" w:themeFill="accent5" w:themeFillTint="33"/>
          </w:tcPr>
          <w:p w14:paraId="4FD2D044"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1.1. Analiza funciones expresadas en forma algebraica, por medio de tablas o gráficamente, y las relaciona con fenómenos cotidianos, económicos, sociales y científicos extrayendo y replicando modelos. </w:t>
            </w:r>
          </w:p>
          <w:p w14:paraId="658CAE52"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1.2. Selecciona de manera adecuada y razonadamente ejes, unidades y escalas reconociendo e identificando los errores de interpretación derivados de una mala elección, para realizar representaciones gráficas de funciones.</w:t>
            </w:r>
          </w:p>
          <w:p w14:paraId="61087606"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1.3. Estudia e interpreta gráficamente las características de una función comprobando los resultados con la ayuda de medios tecnológicos en actividades abstractas y problemas contextualizados. </w:t>
            </w:r>
          </w:p>
        </w:tc>
      </w:tr>
      <w:tr w:rsidR="00CF240E" w:rsidRPr="001911B5" w14:paraId="711A7D65" w14:textId="77777777" w:rsidTr="00CF240E">
        <w:tc>
          <w:tcPr>
            <w:tcW w:w="1022" w:type="dxa"/>
            <w:gridSpan w:val="3"/>
            <w:shd w:val="clear" w:color="auto" w:fill="DEEAF6" w:themeFill="accent5" w:themeFillTint="33"/>
          </w:tcPr>
          <w:p w14:paraId="75EC8DD8"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p>
        </w:tc>
        <w:tc>
          <w:tcPr>
            <w:tcW w:w="3319" w:type="dxa"/>
            <w:gridSpan w:val="4"/>
            <w:shd w:val="clear" w:color="auto" w:fill="DEEAF6" w:themeFill="accent5" w:themeFillTint="33"/>
          </w:tcPr>
          <w:p w14:paraId="0F0A8099"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2. Interpolar y extrapolar valores de funciones a partir de tablas y conocer la utilidad en casos reales. </w:t>
            </w:r>
          </w:p>
        </w:tc>
        <w:tc>
          <w:tcPr>
            <w:tcW w:w="1156" w:type="dxa"/>
            <w:gridSpan w:val="2"/>
            <w:shd w:val="clear" w:color="auto" w:fill="DEEAF6" w:themeFill="accent5" w:themeFillTint="33"/>
          </w:tcPr>
          <w:p w14:paraId="20F41B11"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CMCT, CAA.</w:t>
            </w:r>
          </w:p>
        </w:tc>
        <w:tc>
          <w:tcPr>
            <w:tcW w:w="4959" w:type="dxa"/>
            <w:shd w:val="clear" w:color="auto" w:fill="DEEAF6" w:themeFill="accent5" w:themeFillTint="33"/>
          </w:tcPr>
          <w:p w14:paraId="4FBF1877"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2.1. Obtiene valores desconocidos mediante interpolación o extrapolación a partir de tablas o datos y los interpreta en un contexto. </w:t>
            </w:r>
          </w:p>
        </w:tc>
      </w:tr>
      <w:tr w:rsidR="00CF240E" w:rsidRPr="001911B5" w14:paraId="400D076D" w14:textId="77777777" w:rsidTr="00CF240E">
        <w:tc>
          <w:tcPr>
            <w:tcW w:w="10456" w:type="dxa"/>
            <w:gridSpan w:val="10"/>
            <w:shd w:val="clear" w:color="auto" w:fill="E2EFD9" w:themeFill="accent6" w:themeFillTint="33"/>
          </w:tcPr>
          <w:p w14:paraId="204988AD"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lastRenderedPageBreak/>
              <w:t>Bloque 4: Estadística y Probabilidad.</w:t>
            </w:r>
          </w:p>
        </w:tc>
      </w:tr>
      <w:tr w:rsidR="00CF240E" w:rsidRPr="001911B5" w14:paraId="5DC47AC9" w14:textId="77777777" w:rsidTr="00CF240E">
        <w:tc>
          <w:tcPr>
            <w:tcW w:w="10456" w:type="dxa"/>
            <w:gridSpan w:val="10"/>
            <w:shd w:val="clear" w:color="auto" w:fill="E2EFD9" w:themeFill="accent6" w:themeFillTint="33"/>
          </w:tcPr>
          <w:p w14:paraId="4EE2AB60"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Estadística descriptiva bidimensional: Tablas de contingencia. Distribución conjunta y distribuciones marginales. Distribuciones condicionadas. Medias y desviaciones típicas marginales y condicionadas. Independencia de variables estadísticas. Dependencia de dos variables estadísticas. Representación gráfica: Nube de puntos. Dependencia lineal de dos variables estadísticas. Covarianza y correlación: Cálculo e interpretación del coeficiente de correlación lineal. Regresión lineal. Predicciones estadísticas y fiabilidad de </w:t>
            </w:r>
            <w:proofErr w:type="gramStart"/>
            <w:r w:rsidRPr="001911B5">
              <w:rPr>
                <w:rFonts w:ascii="Arial" w:eastAsia="Calibri" w:hAnsi="Arial" w:cs="Arial"/>
                <w:color w:val="000000" w:themeColor="text1"/>
                <w:sz w:val="18"/>
                <w:szCs w:val="18"/>
              </w:rPr>
              <w:t>las mismas</w:t>
            </w:r>
            <w:proofErr w:type="gramEnd"/>
            <w:r w:rsidRPr="001911B5">
              <w:rPr>
                <w:rFonts w:ascii="Arial" w:eastAsia="Calibri" w:hAnsi="Arial" w:cs="Arial"/>
                <w:color w:val="000000" w:themeColor="text1"/>
                <w:sz w:val="18"/>
                <w:szCs w:val="18"/>
              </w:rPr>
              <w:t xml:space="preserve">. Coeficiente de determinación. Sucesos. Asignación de probabilidades a sucesos mediante la regla de Laplace y a partir de su frecuencia relativa. Axiomática de </w:t>
            </w:r>
            <w:proofErr w:type="spellStart"/>
            <w:r w:rsidRPr="001911B5">
              <w:rPr>
                <w:rFonts w:ascii="Arial" w:eastAsia="Calibri" w:hAnsi="Arial" w:cs="Arial"/>
                <w:color w:val="000000" w:themeColor="text1"/>
                <w:sz w:val="18"/>
                <w:szCs w:val="18"/>
              </w:rPr>
              <w:t>Kolmogorov</w:t>
            </w:r>
            <w:proofErr w:type="spellEnd"/>
            <w:r w:rsidRPr="001911B5">
              <w:rPr>
                <w:rFonts w:ascii="Arial" w:eastAsia="Calibri" w:hAnsi="Arial" w:cs="Arial"/>
                <w:color w:val="000000" w:themeColor="text1"/>
                <w:sz w:val="18"/>
                <w:szCs w:val="18"/>
              </w:rPr>
              <w:t>. Aplicación de la combinatoria al cálculo de probabilidades.</w:t>
            </w:r>
          </w:p>
          <w:p w14:paraId="68D5665A"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Experimentos simples y compuestos. Probabilidad condicionada. Dependencia e independencia de sucesos. Variables aleatorias discretas. Distribución de probabilidad. Media, varianza y desviación típica. Distribución binomial. Caracterización e identificación del modelo. Cálculo de probabilidades. Variables aleatorias continuas. Función de densidad y de distribución. Interpretación de la media, varianza y desviación típica. Distribución normal. Tipificación de la distribución normal. Asignación de probabilidades en una distribución normal. Cálculo de probabilidades mediante la aproximación de la distribución binomial por la normal.</w:t>
            </w:r>
          </w:p>
        </w:tc>
      </w:tr>
      <w:tr w:rsidR="00CF240E" w:rsidRPr="001911B5" w14:paraId="69CA7523" w14:textId="77777777" w:rsidTr="00CF240E">
        <w:tc>
          <w:tcPr>
            <w:tcW w:w="902" w:type="dxa"/>
            <w:gridSpan w:val="2"/>
            <w:shd w:val="clear" w:color="auto" w:fill="E2EFD9" w:themeFill="accent6" w:themeFillTint="33"/>
          </w:tcPr>
          <w:p w14:paraId="55A76708"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p>
        </w:tc>
        <w:tc>
          <w:tcPr>
            <w:tcW w:w="2376" w:type="dxa"/>
            <w:gridSpan w:val="2"/>
            <w:shd w:val="clear" w:color="auto" w:fill="E2EFD9" w:themeFill="accent6" w:themeFillTint="33"/>
          </w:tcPr>
          <w:p w14:paraId="12287AF8"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1. 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dependencia entre las variables. </w:t>
            </w:r>
          </w:p>
        </w:tc>
        <w:tc>
          <w:tcPr>
            <w:tcW w:w="1033" w:type="dxa"/>
            <w:gridSpan w:val="2"/>
            <w:shd w:val="clear" w:color="auto" w:fill="E2EFD9" w:themeFill="accent6" w:themeFillTint="33"/>
          </w:tcPr>
          <w:p w14:paraId="36024680"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CCL, CMCT, CD, CAA</w:t>
            </w:r>
          </w:p>
        </w:tc>
        <w:tc>
          <w:tcPr>
            <w:tcW w:w="6145" w:type="dxa"/>
            <w:gridSpan w:val="4"/>
            <w:shd w:val="clear" w:color="auto" w:fill="E2EFD9" w:themeFill="accent6" w:themeFillTint="33"/>
          </w:tcPr>
          <w:p w14:paraId="10575E24"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1.1. Elabora e interpreta tablas bidimensionales de frecuencias a partir de los datos de un estudio estadístico, con variables discretas y continuas. </w:t>
            </w:r>
          </w:p>
          <w:p w14:paraId="02C3430E"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1.2. Calcula e interpreta los parámetros estadísticos más usuales en variables bidimensionales para aplicarlos en situaciones de la vida real.</w:t>
            </w:r>
          </w:p>
          <w:p w14:paraId="17F01780"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 1.3. Halla las distribuciones marginales y diferentes distribuciones condicionadas a partir de una tabla de contingencia, así como sus parámetros para aplicarlos en situaciones de la vida real. </w:t>
            </w:r>
          </w:p>
          <w:p w14:paraId="70C251CE"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1.4. Decide si dos variables estadísticas son o no estadísticamente dependientes a partir de sus distribuciones condicionadas y marginales para poder formular conjeturas. </w:t>
            </w:r>
          </w:p>
          <w:p w14:paraId="69C9478A"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1.5. Usa adecuadamente medios tecnológicos para organizar y analizar datos desde el punto de vista estadístico, calcular parámetros y generar gráficos estadísticos. </w:t>
            </w:r>
          </w:p>
        </w:tc>
      </w:tr>
      <w:tr w:rsidR="00CF240E" w:rsidRPr="001911B5" w14:paraId="11583EB5" w14:textId="77777777" w:rsidTr="00CF240E">
        <w:tc>
          <w:tcPr>
            <w:tcW w:w="902" w:type="dxa"/>
            <w:gridSpan w:val="2"/>
            <w:shd w:val="clear" w:color="auto" w:fill="E2EFD9" w:themeFill="accent6" w:themeFillTint="33"/>
          </w:tcPr>
          <w:p w14:paraId="16FCB129"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p>
        </w:tc>
        <w:tc>
          <w:tcPr>
            <w:tcW w:w="2376" w:type="dxa"/>
            <w:gridSpan w:val="2"/>
            <w:shd w:val="clear" w:color="auto" w:fill="E2EFD9" w:themeFill="accent6" w:themeFillTint="33"/>
          </w:tcPr>
          <w:p w14:paraId="77252584"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3. 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 </w:t>
            </w:r>
          </w:p>
        </w:tc>
        <w:tc>
          <w:tcPr>
            <w:tcW w:w="1033" w:type="dxa"/>
            <w:gridSpan w:val="2"/>
            <w:shd w:val="clear" w:color="auto" w:fill="E2EFD9" w:themeFill="accent6" w:themeFillTint="33"/>
          </w:tcPr>
          <w:p w14:paraId="671D3EEC"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CMCT, CAA.</w:t>
            </w:r>
          </w:p>
        </w:tc>
        <w:tc>
          <w:tcPr>
            <w:tcW w:w="6145" w:type="dxa"/>
            <w:gridSpan w:val="4"/>
            <w:shd w:val="clear" w:color="auto" w:fill="E2EFD9" w:themeFill="accent6" w:themeFillTint="33"/>
          </w:tcPr>
          <w:p w14:paraId="6803DB3E"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3.1. Calcula la probabilidad de sucesos en experimentos simples y compuestos mediante la regla de Laplace, las fórmulas derivadas de la axiomática de </w:t>
            </w:r>
            <w:proofErr w:type="spellStart"/>
            <w:r w:rsidRPr="001911B5">
              <w:rPr>
                <w:rFonts w:ascii="Arial" w:eastAsia="Calibri" w:hAnsi="Arial" w:cs="Arial"/>
                <w:color w:val="000000" w:themeColor="text1"/>
                <w:sz w:val="18"/>
                <w:szCs w:val="18"/>
              </w:rPr>
              <w:t>Kolmogorov</w:t>
            </w:r>
            <w:proofErr w:type="spellEnd"/>
            <w:r w:rsidRPr="001911B5">
              <w:rPr>
                <w:rFonts w:ascii="Arial" w:eastAsia="Calibri" w:hAnsi="Arial" w:cs="Arial"/>
                <w:color w:val="000000" w:themeColor="text1"/>
                <w:sz w:val="18"/>
                <w:szCs w:val="18"/>
              </w:rPr>
              <w:t xml:space="preserve"> y diferentes técnicas de recuento. </w:t>
            </w:r>
          </w:p>
          <w:p w14:paraId="76FECEDC"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3.2. Construye la función de probabilidad de una variable discreta asociada a un fenómeno sencillo y calcula sus parámetros y algunas probabilidades asociadas. </w:t>
            </w:r>
          </w:p>
          <w:p w14:paraId="2852B8FF"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3.3. Construye la función de densidad de una variable </w:t>
            </w:r>
            <w:proofErr w:type="gramStart"/>
            <w:r w:rsidRPr="001911B5">
              <w:rPr>
                <w:rFonts w:ascii="Arial" w:eastAsia="Calibri" w:hAnsi="Arial" w:cs="Arial"/>
                <w:color w:val="000000" w:themeColor="text1"/>
                <w:sz w:val="18"/>
                <w:szCs w:val="18"/>
              </w:rPr>
              <w:t>continua</w:t>
            </w:r>
            <w:proofErr w:type="gramEnd"/>
            <w:r w:rsidRPr="001911B5">
              <w:rPr>
                <w:rFonts w:ascii="Arial" w:eastAsia="Calibri" w:hAnsi="Arial" w:cs="Arial"/>
                <w:color w:val="000000" w:themeColor="text1"/>
                <w:sz w:val="18"/>
                <w:szCs w:val="18"/>
              </w:rPr>
              <w:t xml:space="preserve"> asociada a un fenómeno sencillo y calcula sus parámetros y algunas probabilidades asociadas. </w:t>
            </w:r>
          </w:p>
          <w:p w14:paraId="088FD7D8"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p>
        </w:tc>
      </w:tr>
      <w:tr w:rsidR="00CF240E" w:rsidRPr="001911B5" w14:paraId="4DE72C61" w14:textId="77777777" w:rsidTr="00CF240E">
        <w:tc>
          <w:tcPr>
            <w:tcW w:w="902" w:type="dxa"/>
            <w:gridSpan w:val="2"/>
            <w:shd w:val="clear" w:color="auto" w:fill="E2EFD9" w:themeFill="accent6" w:themeFillTint="33"/>
          </w:tcPr>
          <w:p w14:paraId="016A52F1"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p>
        </w:tc>
        <w:tc>
          <w:tcPr>
            <w:tcW w:w="2376" w:type="dxa"/>
            <w:gridSpan w:val="2"/>
            <w:shd w:val="clear" w:color="auto" w:fill="E2EFD9" w:themeFill="accent6" w:themeFillTint="33"/>
          </w:tcPr>
          <w:p w14:paraId="66FC88F7"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2. Interpretar la posible relación entre dos variables y cuantificar la relación lineal entre ellas mediante el coeficiente de correlación, valorando la pertinencia de ajustar una recta de regresión y de realizar predicciones a partir de ella, evaluando la fiabilidad de </w:t>
            </w:r>
            <w:proofErr w:type="gramStart"/>
            <w:r w:rsidRPr="001911B5">
              <w:rPr>
                <w:rFonts w:ascii="Arial" w:eastAsia="Calibri" w:hAnsi="Arial" w:cs="Arial"/>
                <w:color w:val="000000" w:themeColor="text1"/>
                <w:sz w:val="18"/>
                <w:szCs w:val="18"/>
              </w:rPr>
              <w:t>las mismas</w:t>
            </w:r>
            <w:proofErr w:type="gramEnd"/>
            <w:r w:rsidRPr="001911B5">
              <w:rPr>
                <w:rFonts w:ascii="Arial" w:eastAsia="Calibri" w:hAnsi="Arial" w:cs="Arial"/>
                <w:color w:val="000000" w:themeColor="text1"/>
                <w:sz w:val="18"/>
                <w:szCs w:val="18"/>
              </w:rPr>
              <w:t xml:space="preserve"> en un contexto de resolución de problemas relacionados con fenómenos económicos y sociales. </w:t>
            </w:r>
          </w:p>
        </w:tc>
        <w:tc>
          <w:tcPr>
            <w:tcW w:w="1033" w:type="dxa"/>
            <w:gridSpan w:val="2"/>
            <w:shd w:val="clear" w:color="auto" w:fill="E2EFD9" w:themeFill="accent6" w:themeFillTint="33"/>
          </w:tcPr>
          <w:p w14:paraId="011F6C63"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CCL, CMCT, CD, CSC.</w:t>
            </w:r>
          </w:p>
        </w:tc>
        <w:tc>
          <w:tcPr>
            <w:tcW w:w="6145" w:type="dxa"/>
            <w:gridSpan w:val="4"/>
            <w:shd w:val="clear" w:color="auto" w:fill="E2EFD9" w:themeFill="accent6" w:themeFillTint="33"/>
          </w:tcPr>
          <w:p w14:paraId="2D8DCC30"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2.1. Distingue la dependencia funcional de la dependencia estadística y estima si dos variables son o no estadísticamente dependientes mediante la representación de la nube de puntos en contextos cotidianos. </w:t>
            </w:r>
          </w:p>
          <w:p w14:paraId="33DF0616"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2.2. Cuantifica el grado y sentido de la dependencia lineal entre dos variables mediante el cálculo e interpretación del coeficiente de correlación lineal para poder obtener conclusiones.</w:t>
            </w:r>
          </w:p>
          <w:p w14:paraId="0DF94543"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2.3. Calcula las rectas de regresión de dos variables y obtiene predicciones a partir de ellas. </w:t>
            </w:r>
          </w:p>
          <w:p w14:paraId="2EE2CD35"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2.4. Evalúa la fiabilidad de las predicciones obtenidas a partir de la recta de regresión mediante el coeficiente de determinación lineal en contextos relacionados con fenómenos económicos y sociales. </w:t>
            </w:r>
          </w:p>
        </w:tc>
      </w:tr>
      <w:tr w:rsidR="00CF240E" w:rsidRPr="001911B5" w14:paraId="00C1F1C4" w14:textId="77777777" w:rsidTr="00CF240E">
        <w:tc>
          <w:tcPr>
            <w:tcW w:w="902" w:type="dxa"/>
            <w:gridSpan w:val="2"/>
            <w:shd w:val="clear" w:color="auto" w:fill="E2EFD9" w:themeFill="accent6" w:themeFillTint="33"/>
          </w:tcPr>
          <w:p w14:paraId="389E5753"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p>
        </w:tc>
        <w:tc>
          <w:tcPr>
            <w:tcW w:w="2376" w:type="dxa"/>
            <w:gridSpan w:val="2"/>
            <w:shd w:val="clear" w:color="auto" w:fill="E2EFD9" w:themeFill="accent6" w:themeFillTint="33"/>
          </w:tcPr>
          <w:p w14:paraId="2D88D149"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5. Utilizar el vocabulario adecuado para la descripción de situaciones relacionadas con el azar y la estadística, analizando un conjunto de datos o </w:t>
            </w:r>
            <w:r w:rsidRPr="001911B5">
              <w:rPr>
                <w:rFonts w:ascii="Arial" w:eastAsia="Calibri" w:hAnsi="Arial" w:cs="Arial"/>
                <w:color w:val="000000" w:themeColor="text1"/>
                <w:sz w:val="18"/>
                <w:szCs w:val="18"/>
              </w:rPr>
              <w:lastRenderedPageBreak/>
              <w:t xml:space="preserve">interpretando de forma crítica informaciones estadísticas presentes en los medios de comunicación, la publicidad y otros ámbitos, detectando posibles errores y manipulaciones tanto en la presentación de los datos como de las conclusiones. </w:t>
            </w:r>
          </w:p>
        </w:tc>
        <w:tc>
          <w:tcPr>
            <w:tcW w:w="1033" w:type="dxa"/>
            <w:gridSpan w:val="2"/>
            <w:shd w:val="clear" w:color="auto" w:fill="E2EFD9" w:themeFill="accent6" w:themeFillTint="33"/>
          </w:tcPr>
          <w:p w14:paraId="74D1B7F5"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lang w:val="en-US"/>
              </w:rPr>
            </w:pPr>
            <w:r w:rsidRPr="001911B5">
              <w:rPr>
                <w:rFonts w:ascii="Arial" w:eastAsia="Calibri" w:hAnsi="Arial" w:cs="Arial"/>
                <w:color w:val="000000" w:themeColor="text1"/>
                <w:sz w:val="18"/>
                <w:szCs w:val="18"/>
                <w:lang w:val="en-US"/>
              </w:rPr>
              <w:lastRenderedPageBreak/>
              <w:t>CCL, CMCT, CD, CAA, CSC, CEC.</w:t>
            </w:r>
          </w:p>
        </w:tc>
        <w:tc>
          <w:tcPr>
            <w:tcW w:w="6145" w:type="dxa"/>
            <w:gridSpan w:val="4"/>
            <w:shd w:val="clear" w:color="auto" w:fill="E2EFD9" w:themeFill="accent6" w:themeFillTint="33"/>
          </w:tcPr>
          <w:p w14:paraId="2C8B1510"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5.1. Utiliza un vocabulario adecuado para describir situaciones relacionadas con el azar y la estadística. </w:t>
            </w:r>
          </w:p>
          <w:p w14:paraId="6EB3BF61"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5.2. Razona y argumenta la interpretación de informaciones estadísticas o relacionadas con el azar presentes en la vida cotidiana.</w:t>
            </w:r>
          </w:p>
        </w:tc>
      </w:tr>
      <w:tr w:rsidR="00CF240E" w:rsidRPr="001911B5" w14:paraId="049E8E99" w14:textId="77777777" w:rsidTr="00CF240E">
        <w:tc>
          <w:tcPr>
            <w:tcW w:w="902" w:type="dxa"/>
            <w:gridSpan w:val="2"/>
            <w:shd w:val="clear" w:color="auto" w:fill="E2EFD9" w:themeFill="accent6" w:themeFillTint="33"/>
          </w:tcPr>
          <w:p w14:paraId="2B6493B1"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shd w:val="clear" w:color="auto" w:fill="FFF338"/>
              </w:rPr>
            </w:pPr>
          </w:p>
        </w:tc>
        <w:tc>
          <w:tcPr>
            <w:tcW w:w="2376" w:type="dxa"/>
            <w:gridSpan w:val="2"/>
            <w:shd w:val="clear" w:color="auto" w:fill="E2EFD9" w:themeFill="accent6" w:themeFillTint="33"/>
          </w:tcPr>
          <w:p w14:paraId="4C82BC93"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4. Identificar los fenómenos que pueden modelizarse mediante las distribuciones de probabilidad binomial y normal calculando sus parámetros y determinando la probabilidad de diferentes sucesos asociados. CMCT, CD, CAA.</w:t>
            </w:r>
          </w:p>
          <w:p w14:paraId="4E893F7C"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p>
        </w:tc>
        <w:tc>
          <w:tcPr>
            <w:tcW w:w="1033" w:type="dxa"/>
            <w:gridSpan w:val="2"/>
            <w:shd w:val="clear" w:color="auto" w:fill="E2EFD9" w:themeFill="accent6" w:themeFillTint="33"/>
          </w:tcPr>
          <w:p w14:paraId="025565BF"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p>
        </w:tc>
        <w:tc>
          <w:tcPr>
            <w:tcW w:w="6145" w:type="dxa"/>
            <w:gridSpan w:val="4"/>
            <w:shd w:val="clear" w:color="auto" w:fill="E2EFD9" w:themeFill="accent6" w:themeFillTint="33"/>
          </w:tcPr>
          <w:p w14:paraId="212D00DE"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4.1. Identifica fenómenos que pueden modelizarse mediante la distribución binomial, obtiene sus parámetros y calcula su media y desviación típica. </w:t>
            </w:r>
          </w:p>
          <w:p w14:paraId="56870C22"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4.2. Calcula probabilidades asociadas a una distribución binomial a partir de su función de probabilidad, de la tabla de la distribución o mediante calculadora, hoja de cálculo u otra herramienta tecnológica y las aplica en diversas situaciones.</w:t>
            </w:r>
          </w:p>
          <w:p w14:paraId="15E949C6"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4.3. Distingue fenómenos que pueden modelizarse mediante una distribución normal, y valora su importancia en las ciencias sociales. </w:t>
            </w:r>
          </w:p>
          <w:p w14:paraId="31BFE71B"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4.4. Calcula probabilidades de sucesos asociados a fenómenos que pueden modelizarse mediante la distribución normal a partir de la tabla de la distribución o mediante calculadora, hoja de cálculo u otra herramienta tecnológica, y las aplica en diversas situaciones. </w:t>
            </w:r>
          </w:p>
          <w:p w14:paraId="2A11B6CD" w14:textId="77777777" w:rsidR="00CF240E" w:rsidRPr="001911B5" w:rsidRDefault="00CF240E" w:rsidP="00D81DE5">
            <w:pPr>
              <w:tabs>
                <w:tab w:val="left" w:pos="2925"/>
              </w:tabs>
              <w:autoSpaceDE w:val="0"/>
              <w:autoSpaceDN w:val="0"/>
              <w:adjustRightInd w:val="0"/>
              <w:spacing w:before="120" w:after="120"/>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4.5. Calcula probabilidades de sucesos asociados a fenómenos que pueden modelizarse mediante la distribución binomial a partir de su aproximación por la normal valorando si se dan las condiciones necesarias para que sea válida.</w:t>
            </w:r>
          </w:p>
        </w:tc>
      </w:tr>
    </w:tbl>
    <w:p w14:paraId="5A3781BA" w14:textId="66B3222B" w:rsidR="003D43C3" w:rsidRDefault="003D43C3">
      <w:pPr>
        <w:pStyle w:val="Standard"/>
      </w:pPr>
    </w:p>
    <w:p w14:paraId="0132ACCF" w14:textId="004B8C59" w:rsidR="00E510AE" w:rsidRPr="00E510AE" w:rsidRDefault="00E510AE" w:rsidP="00E510AE">
      <w:pPr>
        <w:pStyle w:val="Standard"/>
        <w:ind w:firstLine="708"/>
        <w:jc w:val="both"/>
        <w:rPr>
          <w:rFonts w:ascii="Times New Roman" w:hAnsi="Times New Roman"/>
          <w:b/>
          <w:bCs/>
          <w:sz w:val="24"/>
          <w:szCs w:val="24"/>
        </w:rPr>
      </w:pPr>
      <w:r w:rsidRPr="002D6DB9">
        <w:rPr>
          <w:rFonts w:ascii="Times New Roman" w:hAnsi="Times New Roman"/>
          <w:b/>
          <w:bCs/>
          <w:sz w:val="24"/>
          <w:szCs w:val="24"/>
        </w:rPr>
        <w:t xml:space="preserve">Ante la situación actual y, en virtud de la instrucción 10/2020, de 15 de </w:t>
      </w:r>
      <w:proofErr w:type="gramStart"/>
      <w:r w:rsidRPr="002D6DB9">
        <w:rPr>
          <w:rFonts w:ascii="Times New Roman" w:hAnsi="Times New Roman"/>
          <w:b/>
          <w:bCs/>
          <w:sz w:val="24"/>
          <w:szCs w:val="24"/>
        </w:rPr>
        <w:t>Junio</w:t>
      </w:r>
      <w:proofErr w:type="gramEnd"/>
      <w:r w:rsidRPr="002D6DB9">
        <w:rPr>
          <w:rFonts w:ascii="Times New Roman" w:hAnsi="Times New Roman"/>
          <w:b/>
          <w:bCs/>
          <w:sz w:val="24"/>
          <w:szCs w:val="24"/>
        </w:rPr>
        <w:t>, en cada grupo de aplicación de esta programación se tendrá en cuenta el punto de partida y los contenidos no impartidos durante el curso anterior, pudiendo verse alterados, en la programación de aula correspondiente, algunos de los criterios expuestos previamente. Se encuentra reflejada en la programación de nuestro departamento una priorización de contenidos para dichos casos, cuya aplicación llevaría pareja la reducción de los criterios de evaluación relacionados.</w:t>
      </w:r>
    </w:p>
    <w:p w14:paraId="5278D057" w14:textId="77777777" w:rsidR="00C3438F" w:rsidRDefault="00C3438F" w:rsidP="00C3438F">
      <w:pPr>
        <w:pStyle w:val="Ttulo3"/>
        <w:widowControl/>
        <w:numPr>
          <w:ilvl w:val="0"/>
          <w:numId w:val="16"/>
        </w:numPr>
        <w:suppressAutoHyphens w:val="0"/>
        <w:autoSpaceDN/>
        <w:spacing w:before="0"/>
        <w:textAlignment w:val="auto"/>
        <w:rPr>
          <w:color w:val="000000" w:themeColor="text1"/>
        </w:rPr>
      </w:pPr>
      <w:bookmarkStart w:id="0" w:name="_Toc526786414"/>
      <w:r>
        <w:rPr>
          <w:color w:val="000000" w:themeColor="text1"/>
        </w:rPr>
        <w:t>PROCEDIMIENTOS E INSTRUMENTOS DE CALIFICACIÓN.</w:t>
      </w:r>
      <w:bookmarkEnd w:id="0"/>
    </w:p>
    <w:p w14:paraId="2E0E8529" w14:textId="7FDD7F0E" w:rsidR="00C3438F" w:rsidRPr="001911B5" w:rsidRDefault="00C3438F" w:rsidP="00C3438F">
      <w:pPr>
        <w:pStyle w:val="Ttulo3"/>
        <w:widowControl/>
        <w:suppressAutoHyphens w:val="0"/>
        <w:autoSpaceDN/>
        <w:spacing w:before="0"/>
        <w:ind w:left="720"/>
        <w:textAlignment w:val="auto"/>
        <w:rPr>
          <w:color w:val="000000" w:themeColor="text1"/>
        </w:rPr>
      </w:pPr>
      <w:r w:rsidRPr="001911B5">
        <w:rPr>
          <w:color w:val="000000" w:themeColor="text1"/>
        </w:rPr>
        <w:t xml:space="preserve"> </w:t>
      </w:r>
    </w:p>
    <w:p w14:paraId="7E17482A" w14:textId="77777777" w:rsidR="00C3438F" w:rsidRPr="001911B5" w:rsidRDefault="00C3438F" w:rsidP="00C3438F">
      <w:pPr>
        <w:ind w:firstLine="708"/>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 xml:space="preserve">En cuanto a la evaluación del proceso de aprendizaje, se van a utilizar una diversidad de instrumentos que se utilizarán para la observación y registro del grado de adquisición de los diferentes estándares de aprendizaje y que son: </w:t>
      </w:r>
    </w:p>
    <w:p w14:paraId="5E385E07" w14:textId="77777777" w:rsidR="00C3438F" w:rsidRPr="001911B5" w:rsidRDefault="00C3438F" w:rsidP="00C3438F">
      <w:pPr>
        <w:widowControl/>
        <w:numPr>
          <w:ilvl w:val="0"/>
          <w:numId w:val="12"/>
        </w:numPr>
        <w:suppressAutoHyphens w:val="0"/>
        <w:autoSpaceDN/>
        <w:textAlignment w:val="auto"/>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Pruebas objetivas escritas y orales: Una vez finalice un tema o bloque temático, el profesor o profesora que imparta la asignatura planteará una prueba escrita al alumnado.</w:t>
      </w:r>
      <w:r w:rsidRPr="001911B5">
        <w:rPr>
          <w:rFonts w:ascii="Times New Roman" w:hAnsi="Times New Roman" w:cs="Times New Roman (Cuerpo en alfa"/>
          <w:color w:val="000000" w:themeColor="text1"/>
          <w:sz w:val="24"/>
          <w:szCs w:val="16"/>
          <w:lang w:eastAsia="zh-CN" w:bidi="es-ES"/>
        </w:rPr>
        <w:t xml:space="preserve"> El número de pruebas escritas en cada trimestre vendrá determinado por el número de unidades didácticas que dé tiempo a desarrollar. Estos controles consistirán básicamente en cuestiones, preguntas, ejercicios y problemas de características similares a los realizados en clase, en las que se tendrán presentes los estándares de aprendizaje que se han desarrollado en la unidad. </w:t>
      </w:r>
    </w:p>
    <w:p w14:paraId="337C2C9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 xml:space="preserve">Trabajos dirigidos donde se apliquen  las diferentes estrategias aprendidas (individuales o en grupo): los alumnos/as podrán realizar un trabajo en cada evaluación relacionado con el bloque impartido, siempre encaminado a que demuestre que ha adquirido los estándares correspondientes a los contenidos que desarrolle. </w:t>
      </w:r>
    </w:p>
    <w:p w14:paraId="3DC7E5A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Exposiciones orales. Los alumnos/as podrán realizar al menos una vez durante el curso escolar un trabajo que habrá de ser presentado en formato digital y deberá ser expuesto por el alumnado, utilizando para su elaboración  diversos programas informáticos (procesador de textos, hoja de cálculo, programas estadísticos y matemáticos), todos ellos de software libre.</w:t>
      </w:r>
    </w:p>
    <w:p w14:paraId="38C27CCE" w14:textId="77777777" w:rsidR="00C3438F" w:rsidRPr="00DB4D92" w:rsidRDefault="00C3438F" w:rsidP="00C3438F">
      <w:pPr>
        <w:numPr>
          <w:ilvl w:val="0"/>
          <w:numId w:val="12"/>
        </w:numPr>
        <w:shd w:val="clear" w:color="auto" w:fill="FFFFFF" w:themeFill="background1"/>
        <w:tabs>
          <w:tab w:val="left" w:pos="708"/>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Observación diaria que incluye:</w:t>
      </w:r>
    </w:p>
    <w:p w14:paraId="183AC0B5"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El cuaderno del alumno</w:t>
      </w:r>
      <w:r w:rsidRPr="001911B5">
        <w:rPr>
          <w:rFonts w:ascii="Times New Roman" w:hAnsi="Times New Roman" w:cs="Times New Roman (Cuerpo en alfa"/>
          <w:color w:val="000000" w:themeColor="text1"/>
          <w:sz w:val="24"/>
          <w:szCs w:val="16"/>
          <w:lang w:bidi="hi-IN"/>
        </w:rPr>
        <w:t>: nos fijaremos en la presentación y orden; si la expresión y la ortografía son correctas, si recoge todas las actividades y las puestas en común</w:t>
      </w:r>
      <w:r w:rsidRPr="001911B5">
        <w:rPr>
          <w:rFonts w:ascii="Times New Roman" w:hAnsi="Times New Roman" w:cs="Times New Roman (Cuerpo en alfa"/>
          <w:color w:val="000000" w:themeColor="text1"/>
          <w:sz w:val="24"/>
          <w:szCs w:val="16"/>
          <w:vertAlign w:val="subscript"/>
          <w:lang w:bidi="hi-IN"/>
        </w:rPr>
        <w:t xml:space="preserve">, </w:t>
      </w:r>
      <w:r w:rsidRPr="001911B5">
        <w:rPr>
          <w:rFonts w:ascii="Times New Roman" w:hAnsi="Times New Roman" w:cs="Times New Roman (Cuerpo en alfa"/>
          <w:color w:val="000000" w:themeColor="text1"/>
          <w:sz w:val="24"/>
          <w:szCs w:val="16"/>
          <w:lang w:bidi="hi-IN"/>
        </w:rPr>
        <w:t xml:space="preserve">si corrige los </w:t>
      </w:r>
      <w:r w:rsidRPr="001911B5">
        <w:rPr>
          <w:rFonts w:ascii="Times New Roman" w:hAnsi="Times New Roman" w:cs="Times New Roman (Cuerpo en alfa"/>
          <w:color w:val="000000" w:themeColor="text1"/>
          <w:sz w:val="24"/>
          <w:szCs w:val="16"/>
          <w:lang w:bidi="hi-IN"/>
        </w:rPr>
        <w:lastRenderedPageBreak/>
        <w:t>errores y si comenta acerca de su aprendizaje.</w:t>
      </w:r>
    </w:p>
    <w:p w14:paraId="20FF9960"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La actitud en clase</w:t>
      </w:r>
      <w:r w:rsidRPr="001911B5">
        <w:rPr>
          <w:rFonts w:ascii="Times New Roman" w:hAnsi="Times New Roman" w:cs="Times New Roman (Cuerpo en alfa"/>
          <w:color w:val="000000" w:themeColor="text1"/>
          <w:sz w:val="24"/>
          <w:szCs w:val="16"/>
          <w:lang w:bidi="hi-IN"/>
        </w:rPr>
        <w:t xml:space="preserve">: estudiaremos si cada alumno tiene un comportamiento correcto, participa en las puestas en común, pregunta sus dudas, da respuestas originales y rigurosas, trabaja adecuadamente en grupo, está atento y colabora en el desarrollo de la clase. </w:t>
      </w:r>
    </w:p>
    <w:p w14:paraId="08ABC581" w14:textId="77777777" w:rsidR="00C3438F" w:rsidRPr="005D2031" w:rsidRDefault="00C3438F" w:rsidP="00C3438F">
      <w:pPr>
        <w:numPr>
          <w:ilvl w:val="0"/>
          <w:numId w:val="13"/>
        </w:numPr>
        <w:shd w:val="clear" w:color="auto" w:fill="FFFFFF"/>
        <w:tabs>
          <w:tab w:val="left" w:pos="708"/>
        </w:tabs>
        <w:autoSpaceDN/>
        <w:rPr>
          <w:rFonts w:ascii="Times New Roman" w:hAnsi="Times New Roman" w:cs="Times New Roman (Cuerpo en alfa"/>
          <w:color w:val="000000" w:themeColor="text1"/>
          <w:szCs w:val="16"/>
          <w:lang w:bidi="es-ES"/>
        </w:rPr>
      </w:pPr>
      <w:r w:rsidRPr="001911B5">
        <w:rPr>
          <w:rFonts w:ascii="Times New Roman" w:hAnsi="Times New Roman" w:cs="Times New Roman (Cuerpo en alfa"/>
          <w:bCs/>
          <w:color w:val="000000" w:themeColor="text1"/>
          <w:sz w:val="24"/>
          <w:szCs w:val="16"/>
          <w:lang w:bidi="hi-IN"/>
        </w:rPr>
        <w:t>El trabajo en casa</w:t>
      </w:r>
      <w:r w:rsidRPr="001911B5">
        <w:rPr>
          <w:rFonts w:ascii="Times New Roman" w:hAnsi="Times New Roman" w:cs="Times New Roman (Cuerpo en alfa"/>
          <w:color w:val="000000" w:themeColor="text1"/>
          <w:sz w:val="24"/>
          <w:szCs w:val="16"/>
          <w:lang w:bidi="hi-IN"/>
        </w:rPr>
        <w:t>: es importante que el alumno dedique también un tiempo en casa a la asignatura, aunque el trabajo que realice no esté</w:t>
      </w:r>
      <w:r w:rsidRPr="001911B5">
        <w:rPr>
          <w:rFonts w:ascii="Times New Roman" w:hAnsi="Times New Roman" w:cs="Times New Roman (Cuerpo en alfa"/>
          <w:color w:val="000000" w:themeColor="text1"/>
          <w:szCs w:val="16"/>
          <w:lang w:bidi="hi-IN"/>
        </w:rPr>
        <w:t xml:space="preserve"> del todo correcto, pero demuestre el esfuerzo realizado.</w:t>
      </w:r>
      <w:r w:rsidRPr="001911B5">
        <w:rPr>
          <w:rFonts w:ascii="Times New Roman" w:hAnsi="Times New Roman" w:cs="Times New Roman (Cuerpo en alfa"/>
          <w:color w:val="000000" w:themeColor="text1"/>
          <w:szCs w:val="16"/>
          <w:lang w:bidi="es-ES"/>
        </w:rPr>
        <w:t xml:space="preserve"> </w:t>
      </w:r>
    </w:p>
    <w:p w14:paraId="60B3171F" w14:textId="77777777" w:rsidR="0033308D" w:rsidRPr="00BA1215" w:rsidRDefault="0033308D" w:rsidP="0033308D">
      <w:pPr>
        <w:pStyle w:val="Ttulo3"/>
        <w:ind w:left="360" w:firstLine="348"/>
        <w:rPr>
          <w:rFonts w:ascii="Times New Roman" w:hAnsi="Times New Roman" w:cs="Times New Roman"/>
          <w:color w:val="000000" w:themeColor="text1"/>
          <w:sz w:val="24"/>
          <w:szCs w:val="24"/>
        </w:rPr>
      </w:pPr>
      <w:r w:rsidRPr="00BA1215">
        <w:rPr>
          <w:rFonts w:ascii="Times New Roman" w:hAnsi="Times New Roman" w:cs="Times New Roman"/>
          <w:color w:val="000000" w:themeColor="text1"/>
          <w:sz w:val="24"/>
          <w:szCs w:val="24"/>
        </w:rPr>
        <w:t xml:space="preserve">En virtud de la instrucción 10/2020, de 15 de </w:t>
      </w:r>
      <w:proofErr w:type="gramStart"/>
      <w:r w:rsidRPr="00BA1215">
        <w:rPr>
          <w:rFonts w:ascii="Times New Roman" w:hAnsi="Times New Roman" w:cs="Times New Roman"/>
          <w:color w:val="000000" w:themeColor="text1"/>
          <w:sz w:val="24"/>
          <w:szCs w:val="24"/>
        </w:rPr>
        <w:t>Junio</w:t>
      </w:r>
      <w:proofErr w:type="gramEnd"/>
      <w:r w:rsidRPr="00BA1215">
        <w:rPr>
          <w:rFonts w:ascii="Times New Roman" w:hAnsi="Times New Roman" w:cs="Times New Roman"/>
          <w:color w:val="000000" w:themeColor="text1"/>
          <w:sz w:val="24"/>
          <w:szCs w:val="24"/>
        </w:rPr>
        <w:t xml:space="preserve">, se ha tenido en cuenta que los </w:t>
      </w:r>
      <w:bookmarkStart w:id="1" w:name="_GoBack"/>
      <w:bookmarkEnd w:id="1"/>
      <w:r w:rsidRPr="00BA1215">
        <w:rPr>
          <w:rFonts w:ascii="Times New Roman" w:hAnsi="Times New Roman" w:cs="Times New Roman"/>
          <w:color w:val="000000" w:themeColor="text1"/>
          <w:sz w:val="24"/>
          <w:szCs w:val="24"/>
        </w:rPr>
        <w:t xml:space="preserve">procedimientos e instrumentos para llevar a cabo la evaluación de nuestro alumnado sean muy variados y diversos para poder atender cualquier tipo de situación. </w:t>
      </w:r>
      <w:r w:rsidRPr="00BA1215">
        <w:rPr>
          <w:rFonts w:ascii="Times New Roman" w:hAnsi="Times New Roman" w:cs="Times New Roman"/>
          <w:color w:val="000000" w:themeColor="text1"/>
          <w:sz w:val="24"/>
          <w:szCs w:val="24"/>
        </w:rPr>
        <w:fldChar w:fldCharType="begin"/>
      </w:r>
      <w:r w:rsidRPr="00BA1215">
        <w:rPr>
          <w:rFonts w:ascii="Times New Roman" w:hAnsi="Times New Roman" w:cs="Times New Roman"/>
          <w:color w:val="000000" w:themeColor="text1"/>
          <w:sz w:val="24"/>
          <w:szCs w:val="24"/>
        </w:rPr>
        <w:instrText>XE "3.7.2. Criterios de calificación: "</w:instrText>
      </w:r>
      <w:r w:rsidRPr="00BA1215">
        <w:rPr>
          <w:rFonts w:ascii="Times New Roman" w:hAnsi="Times New Roman" w:cs="Times New Roman"/>
          <w:color w:val="000000" w:themeColor="text1"/>
          <w:sz w:val="24"/>
          <w:szCs w:val="24"/>
        </w:rPr>
        <w:fldChar w:fldCharType="end"/>
      </w:r>
      <w:r w:rsidRPr="00BA1215">
        <w:rPr>
          <w:rFonts w:ascii="Times New Roman" w:hAnsi="Times New Roman" w:cs="Times New Roman"/>
          <w:color w:val="000000" w:themeColor="text1"/>
          <w:sz w:val="24"/>
          <w:szCs w:val="24"/>
        </w:rPr>
        <w:t xml:space="preserve"> </w:t>
      </w:r>
    </w:p>
    <w:p w14:paraId="40C4A03C" w14:textId="77777777" w:rsidR="00C3438F" w:rsidRPr="001911B5" w:rsidRDefault="00C3438F" w:rsidP="00C3438F">
      <w:pPr>
        <w:pStyle w:val="Ttulo3"/>
        <w:ind w:left="360" w:firstLine="348"/>
        <w:rPr>
          <w:color w:val="000000" w:themeColor="text1"/>
        </w:rPr>
      </w:pPr>
      <w:r w:rsidRPr="001911B5">
        <w:rPr>
          <w:color w:val="000000" w:themeColor="text1"/>
        </w:rPr>
        <w:fldChar w:fldCharType="begin"/>
      </w:r>
      <w:r w:rsidRPr="001911B5">
        <w:rPr>
          <w:color w:val="000000" w:themeColor="text1"/>
        </w:rPr>
        <w:instrText>XE "3.7.2. Criterios de calificación: "</w:instrText>
      </w:r>
      <w:r w:rsidRPr="001911B5">
        <w:rPr>
          <w:color w:val="000000" w:themeColor="text1"/>
        </w:rPr>
        <w:fldChar w:fldCharType="end"/>
      </w:r>
    </w:p>
    <w:p w14:paraId="5243E461" w14:textId="2614B4EC" w:rsidR="00C3438F" w:rsidRDefault="00C3438F" w:rsidP="00C3438F">
      <w:pPr>
        <w:pStyle w:val="Ttulo3"/>
        <w:widowControl/>
        <w:numPr>
          <w:ilvl w:val="0"/>
          <w:numId w:val="16"/>
        </w:numPr>
        <w:suppressAutoHyphens w:val="0"/>
        <w:autoSpaceDN/>
        <w:spacing w:before="0"/>
        <w:textAlignment w:val="auto"/>
        <w:rPr>
          <w:rFonts w:eastAsia="Calibri"/>
          <w:color w:val="000000" w:themeColor="text1"/>
          <w:lang w:eastAsia="zh-CN"/>
        </w:rPr>
      </w:pPr>
      <w:bookmarkStart w:id="2" w:name="_Toc526786415"/>
      <w:r>
        <w:rPr>
          <w:rFonts w:eastAsia="Calibri"/>
          <w:color w:val="000000" w:themeColor="text1"/>
          <w:lang w:eastAsia="zh-CN"/>
        </w:rPr>
        <w:t xml:space="preserve">CRITERIOS DE CALIFICACIÓN </w:t>
      </w:r>
      <w:bookmarkEnd w:id="2"/>
    </w:p>
    <w:p w14:paraId="7D5EE786" w14:textId="77777777" w:rsidR="007F22EE" w:rsidRPr="007F22EE" w:rsidRDefault="007F22EE" w:rsidP="007F22EE">
      <w:pPr>
        <w:shd w:val="clear" w:color="auto" w:fill="FFFFFF"/>
        <w:ind w:left="360" w:firstLine="348"/>
        <w:jc w:val="both"/>
        <w:rPr>
          <w:rFonts w:ascii="Times New Roman" w:hAnsi="Times New Roman"/>
          <w:color w:val="000000" w:themeColor="text1"/>
          <w:sz w:val="24"/>
          <w:szCs w:val="24"/>
        </w:rPr>
      </w:pPr>
      <w:r w:rsidRPr="007F22EE">
        <w:rPr>
          <w:rFonts w:ascii="Times New Roman" w:hAnsi="Times New Roman"/>
          <w:color w:val="000000" w:themeColor="text1"/>
          <w:sz w:val="24"/>
          <w:szCs w:val="24"/>
        </w:rPr>
        <w:t xml:space="preserve">La calificación de la materia será el resultado de las siguientes ponderaciones: </w:t>
      </w:r>
    </w:p>
    <w:p w14:paraId="3CE4F684" w14:textId="77777777" w:rsidR="007F22EE" w:rsidRPr="007F22EE" w:rsidRDefault="007F22EE" w:rsidP="007F22EE">
      <w:pPr>
        <w:pStyle w:val="Prrafodelista"/>
        <w:shd w:val="clear" w:color="auto" w:fill="FFFFFF"/>
        <w:jc w:val="both"/>
        <w:rPr>
          <w:rFonts w:ascii="Times New Roman" w:hAnsi="Times New Roman"/>
          <w:color w:val="000000" w:themeColor="text1"/>
          <w:sz w:val="24"/>
          <w:szCs w:val="24"/>
        </w:rPr>
      </w:pPr>
    </w:p>
    <w:p w14:paraId="36D20317" w14:textId="77777777" w:rsidR="007F22EE" w:rsidRPr="007F22EE" w:rsidRDefault="007F22EE" w:rsidP="007F22EE">
      <w:pPr>
        <w:pStyle w:val="Prrafodelista"/>
        <w:rPr>
          <w:rFonts w:ascii="Times New Roman" w:hAnsi="Times New Roman"/>
          <w:bCs/>
          <w:color w:val="000000" w:themeColor="text1"/>
          <w:sz w:val="24"/>
          <w:szCs w:val="24"/>
        </w:rPr>
      </w:pPr>
      <w:r w:rsidRPr="007F22EE">
        <w:rPr>
          <w:rFonts w:ascii="Times New Roman" w:hAnsi="Times New Roman"/>
          <w:b/>
          <w:color w:val="000000" w:themeColor="text1"/>
          <w:sz w:val="24"/>
          <w:szCs w:val="24"/>
        </w:rPr>
        <w:t xml:space="preserve">Nota de dominio de los contenidos mínimos (90%). </w:t>
      </w:r>
      <w:r w:rsidRPr="007F22EE">
        <w:rPr>
          <w:rFonts w:ascii="Times New Roman" w:hAnsi="Times New Roman"/>
          <w:bCs/>
          <w:color w:val="000000" w:themeColor="text1"/>
          <w:sz w:val="24"/>
          <w:szCs w:val="24"/>
        </w:rPr>
        <w:t>La nota provendrá en su mayor parte de las pruebas especificas (pruebas escritas, trabajos dirigidos, exposiciones orales) y mediremos el grado de conocimiento de los conceptos y adquisición de las competencias.</w:t>
      </w:r>
    </w:p>
    <w:p w14:paraId="31CD5ABB" w14:textId="77777777" w:rsidR="007F22EE" w:rsidRPr="007F22EE" w:rsidRDefault="007F22EE" w:rsidP="007F22EE">
      <w:pPr>
        <w:pStyle w:val="Prrafodelista"/>
        <w:rPr>
          <w:rFonts w:ascii="Times New Roman" w:hAnsi="Times New Roman"/>
          <w:bCs/>
          <w:color w:val="000000" w:themeColor="text1"/>
          <w:sz w:val="24"/>
          <w:szCs w:val="24"/>
        </w:rPr>
      </w:pPr>
      <w:r w:rsidRPr="007F22EE">
        <w:rPr>
          <w:rFonts w:ascii="Times New Roman" w:hAnsi="Times New Roman"/>
          <w:b/>
          <w:color w:val="000000" w:themeColor="text1"/>
          <w:sz w:val="24"/>
          <w:szCs w:val="24"/>
        </w:rPr>
        <w:t xml:space="preserve">Nota de trabajo y cumplimiento de las tareas (10%). </w:t>
      </w:r>
      <w:r w:rsidRPr="007F22EE">
        <w:rPr>
          <w:rFonts w:ascii="Times New Roman" w:hAnsi="Times New Roman"/>
          <w:bCs/>
          <w:color w:val="000000" w:themeColor="text1"/>
          <w:sz w:val="24"/>
          <w:szCs w:val="24"/>
        </w:rPr>
        <w:t>Calificaremos la aportación individual a los grupos de trabajo, respeto a los compañeros, participación en clase, grado de interés y dedicación, orden y limpieza reflejados en el cuaderno, trabajos, ejercicios y actividades realizadas</w:t>
      </w:r>
    </w:p>
    <w:p w14:paraId="2E1E7573" w14:textId="77777777" w:rsidR="007F22EE" w:rsidRPr="007F22EE" w:rsidRDefault="007F22EE" w:rsidP="007F22EE">
      <w:pPr>
        <w:pStyle w:val="Prrafodelista"/>
        <w:rPr>
          <w:rFonts w:ascii="Times New Roman" w:hAnsi="Times New Roman"/>
          <w:color w:val="000000" w:themeColor="text1"/>
          <w:sz w:val="24"/>
          <w:szCs w:val="24"/>
        </w:rPr>
      </w:pPr>
    </w:p>
    <w:p w14:paraId="618C9B7C" w14:textId="77777777" w:rsidR="007F22EE" w:rsidRPr="007F22EE" w:rsidRDefault="007F22EE" w:rsidP="007F22EE">
      <w:pPr>
        <w:pStyle w:val="Prrafodelista"/>
        <w:shd w:val="clear" w:color="auto" w:fill="FFFFFF"/>
        <w:tabs>
          <w:tab w:val="left" w:pos="708"/>
        </w:tabs>
        <w:jc w:val="both"/>
        <w:rPr>
          <w:rFonts w:ascii="Times New Roman" w:hAnsi="Times New Roman"/>
          <w:color w:val="000000" w:themeColor="text1"/>
          <w:sz w:val="24"/>
          <w:szCs w:val="24"/>
          <w:lang w:bidi="es-ES"/>
        </w:rPr>
      </w:pPr>
    </w:p>
    <w:p w14:paraId="63E046F1" w14:textId="77777777" w:rsidR="00C3438F" w:rsidRDefault="00C3438F">
      <w:pPr>
        <w:pStyle w:val="Standard"/>
      </w:pPr>
    </w:p>
    <w:sectPr w:rsidR="00C3438F">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A73A3" w14:textId="77777777" w:rsidR="00794933" w:rsidRDefault="00794933">
      <w:r>
        <w:separator/>
      </w:r>
    </w:p>
  </w:endnote>
  <w:endnote w:type="continuationSeparator" w:id="0">
    <w:p w14:paraId="5C4801CA" w14:textId="77777777" w:rsidR="00794933" w:rsidRDefault="0079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Yu Mincho">
    <w:altName w:val="游明朝"/>
    <w:panose1 w:val="02020400000000000000"/>
    <w:charset w:val="80"/>
    <w:family w:val="roman"/>
    <w:pitch w:val="variable"/>
    <w:sig w:usb0="800002E7" w:usb1="2AC7FCFF" w:usb2="00000012" w:usb3="00000000" w:csb0="0002009F" w:csb1="00000000"/>
  </w:font>
  <w:font w:name="Times New Roman (Cuerpo en alf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38E62" w14:textId="77777777" w:rsidR="00794933" w:rsidRDefault="00794933">
      <w:r>
        <w:rPr>
          <w:color w:val="000000"/>
        </w:rPr>
        <w:separator/>
      </w:r>
    </w:p>
  </w:footnote>
  <w:footnote w:type="continuationSeparator" w:id="0">
    <w:p w14:paraId="204E1110" w14:textId="77777777" w:rsidR="00794933" w:rsidRDefault="00794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011"/>
    <w:multiLevelType w:val="multilevel"/>
    <w:tmpl w:val="85825992"/>
    <w:styleLink w:val="WWNum8"/>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09E3347"/>
    <w:multiLevelType w:val="hybridMultilevel"/>
    <w:tmpl w:val="AEAEBD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ACC4146"/>
    <w:multiLevelType w:val="hybridMultilevel"/>
    <w:tmpl w:val="D828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C31D6"/>
    <w:multiLevelType w:val="hybridMultilevel"/>
    <w:tmpl w:val="807E04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21D33"/>
    <w:multiLevelType w:val="multilevel"/>
    <w:tmpl w:val="D8EEB074"/>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3327156B"/>
    <w:multiLevelType w:val="multilevel"/>
    <w:tmpl w:val="9CD8936C"/>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35F0713C"/>
    <w:multiLevelType w:val="multilevel"/>
    <w:tmpl w:val="AEF0B6B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464742AA"/>
    <w:multiLevelType w:val="multilevel"/>
    <w:tmpl w:val="8EE20C66"/>
    <w:styleLink w:val="WWNum9"/>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6FC6EFD"/>
    <w:multiLevelType w:val="multilevel"/>
    <w:tmpl w:val="5E4C1DD8"/>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54D40B6C"/>
    <w:multiLevelType w:val="multilevel"/>
    <w:tmpl w:val="8236C260"/>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5A734530"/>
    <w:multiLevelType w:val="hybridMultilevel"/>
    <w:tmpl w:val="0A8CDD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C55CB"/>
    <w:multiLevelType w:val="hybridMultilevel"/>
    <w:tmpl w:val="14207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1018AE"/>
    <w:multiLevelType w:val="multilevel"/>
    <w:tmpl w:val="155A7C20"/>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79E215D0"/>
    <w:multiLevelType w:val="hybridMultilevel"/>
    <w:tmpl w:val="3B4C4854"/>
    <w:lvl w:ilvl="0" w:tplc="A58C967A">
      <w:start w:val="1"/>
      <w:numFmt w:val="upp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4" w15:restartNumberingAfterBreak="0">
    <w:nsid w:val="7D9104CA"/>
    <w:multiLevelType w:val="multilevel"/>
    <w:tmpl w:val="F3F24EB2"/>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5" w15:restartNumberingAfterBreak="0">
    <w:nsid w:val="7F412BD1"/>
    <w:multiLevelType w:val="multilevel"/>
    <w:tmpl w:val="44643E2E"/>
    <w:styleLink w:val="WWNum4"/>
    <w:lvl w:ilvl="0">
      <w:numFmt w:val="bullet"/>
      <w:lvlText w:val=""/>
      <w:lvlJc w:val="left"/>
      <w:rPr>
        <w:color w:val="00000A"/>
        <w:sz w:val="16"/>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12"/>
  </w:num>
  <w:num w:numId="2">
    <w:abstractNumId w:val="6"/>
  </w:num>
  <w:num w:numId="3">
    <w:abstractNumId w:val="4"/>
  </w:num>
  <w:num w:numId="4">
    <w:abstractNumId w:val="15"/>
  </w:num>
  <w:num w:numId="5">
    <w:abstractNumId w:val="14"/>
  </w:num>
  <w:num w:numId="6">
    <w:abstractNumId w:val="8"/>
  </w:num>
  <w:num w:numId="7">
    <w:abstractNumId w:val="5"/>
  </w:num>
  <w:num w:numId="8">
    <w:abstractNumId w:val="0"/>
  </w:num>
  <w:num w:numId="9">
    <w:abstractNumId w:val="7"/>
  </w:num>
  <w:num w:numId="10">
    <w:abstractNumId w:val="1"/>
  </w:num>
  <w:num w:numId="11">
    <w:abstractNumId w:val="2"/>
  </w:num>
  <w:num w:numId="12">
    <w:abstractNumId w:val="11"/>
  </w:num>
  <w:num w:numId="13">
    <w:abstractNumId w:val="9"/>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E5C"/>
    <w:rsid w:val="0011379F"/>
    <w:rsid w:val="00143E8A"/>
    <w:rsid w:val="001725AB"/>
    <w:rsid w:val="00320FE5"/>
    <w:rsid w:val="0033308D"/>
    <w:rsid w:val="003C1F0D"/>
    <w:rsid w:val="003D43C3"/>
    <w:rsid w:val="004A12AC"/>
    <w:rsid w:val="004C727C"/>
    <w:rsid w:val="00532B9E"/>
    <w:rsid w:val="00592147"/>
    <w:rsid w:val="00604E5C"/>
    <w:rsid w:val="00772D00"/>
    <w:rsid w:val="00794933"/>
    <w:rsid w:val="007F22EE"/>
    <w:rsid w:val="00887CD4"/>
    <w:rsid w:val="008C6B04"/>
    <w:rsid w:val="009302E5"/>
    <w:rsid w:val="00A11AF1"/>
    <w:rsid w:val="00A27006"/>
    <w:rsid w:val="00A968EA"/>
    <w:rsid w:val="00B2497C"/>
    <w:rsid w:val="00C3438F"/>
    <w:rsid w:val="00C561B9"/>
    <w:rsid w:val="00CF240E"/>
    <w:rsid w:val="00D0780A"/>
    <w:rsid w:val="00D30918"/>
    <w:rsid w:val="00E45792"/>
    <w:rsid w:val="00E510AE"/>
    <w:rsid w:val="00EF7AA3"/>
    <w:rsid w:val="00F70744"/>
    <w:rsid w:val="00F95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AB9DC"/>
  <w15:docId w15:val="{94305FF2-C3E8-DD48-B98F-04132D2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es-ES" w:eastAsia="es-E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2">
    <w:name w:val="heading 2"/>
    <w:basedOn w:val="Normal"/>
    <w:next w:val="Normal"/>
    <w:link w:val="Ttulo2Car"/>
    <w:uiPriority w:val="9"/>
    <w:unhideWhenUsed/>
    <w:qFormat/>
    <w:rsid w:val="003D43C3"/>
    <w:pPr>
      <w:keepNext/>
      <w:keepLines/>
      <w:widowControl/>
      <w:suppressAutoHyphens w:val="0"/>
      <w:autoSpaceDN/>
      <w:textAlignment w:val="auto"/>
      <w:outlineLvl w:val="1"/>
    </w:pPr>
    <w:rPr>
      <w:rFonts w:ascii="Times New Roman" w:eastAsiaTheme="majorEastAsia" w:hAnsi="Times New Roman" w:cstheme="majorBidi"/>
      <w:b/>
      <w:kern w:val="0"/>
      <w:sz w:val="24"/>
      <w:szCs w:val="26"/>
      <w:lang w:eastAsia="en-US"/>
    </w:rPr>
  </w:style>
  <w:style w:type="paragraph" w:styleId="Ttulo3">
    <w:name w:val="heading 3"/>
    <w:basedOn w:val="Normal"/>
    <w:next w:val="Normal"/>
    <w:link w:val="Ttulo3Car"/>
    <w:uiPriority w:val="9"/>
    <w:unhideWhenUsed/>
    <w:qFormat/>
    <w:rsid w:val="00C3438F"/>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Lista1">
    <w:name w:val="Lista1"/>
    <w:basedOn w:val="Textbody"/>
    <w:rPr>
      <w:rFonts w:cs="Mangal"/>
    </w:rPr>
  </w:style>
  <w:style w:type="paragraph" w:customStyle="1" w:styleId="Epgrafe">
    <w:name w:val="Epígrafe"/>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Sinespaciado1">
    <w:name w:val="Sin espaciado1"/>
    <w:pPr>
      <w:widowControl/>
      <w:suppressAutoHyphens/>
    </w:pPr>
    <w:rPr>
      <w:sz w:val="22"/>
      <w:szCs w:val="22"/>
      <w:lang w:eastAsia="en-US"/>
    </w:rPr>
  </w:style>
  <w:style w:type="paragraph" w:customStyle="1" w:styleId="Textodeglobo1">
    <w:name w:val="Texto de globo1"/>
    <w:basedOn w:val="Standard"/>
    <w:pPr>
      <w:spacing w:after="0" w:line="240" w:lineRule="auto"/>
    </w:pPr>
    <w:rPr>
      <w:rFonts w:ascii="Tahoma" w:hAnsi="Tahoma"/>
      <w:sz w:val="16"/>
      <w:szCs w:val="16"/>
    </w:rPr>
  </w:style>
  <w:style w:type="paragraph" w:customStyle="1" w:styleId="Default">
    <w:name w:val="Default"/>
    <w:pPr>
      <w:widowControl/>
      <w:suppressAutoHyphens/>
    </w:pPr>
    <w:rPr>
      <w:rFonts w:ascii="Arial" w:eastAsia="Times New Roman" w:hAnsi="Arial" w:cs="Arial"/>
      <w:color w:val="000000"/>
      <w:sz w:val="24"/>
      <w:szCs w:val="24"/>
    </w:rPr>
  </w:style>
  <w:style w:type="character" w:customStyle="1" w:styleId="TextodegloboCar">
    <w:name w:val="Texto de globo Car"/>
    <w:rPr>
      <w:rFonts w:ascii="Tahoma" w:hAnsi="Tahoma" w:cs="Tahoma"/>
      <w:sz w:val="16"/>
      <w:szCs w:val="16"/>
      <w:lang w:val="es-ES" w:eastAsia="en-US"/>
    </w:rPr>
  </w:style>
  <w:style w:type="character" w:customStyle="1" w:styleId="nfasis1">
    <w:name w:val="Énfasis1"/>
    <w:basedOn w:val="Fuentedeprrafopredeter1"/>
    <w:rPr>
      <w:i/>
      <w:iCs/>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color w:val="00000A"/>
      <w:sz w:val="16"/>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paragraph" w:styleId="NormalWeb">
    <w:name w:val="Normal (Web)"/>
    <w:basedOn w:val="Normal"/>
    <w:uiPriority w:val="99"/>
    <w:unhideWhenUsed/>
    <w:rsid w:val="00143E8A"/>
    <w:pPr>
      <w:widowControl/>
      <w:suppressAutoHyphens w:val="0"/>
      <w:autoSpaceDN/>
      <w:spacing w:before="100" w:beforeAutospacing="1" w:after="100" w:afterAutospacing="1"/>
      <w:textAlignment w:val="auto"/>
    </w:pPr>
    <w:rPr>
      <w:rFonts w:ascii="Times" w:eastAsiaTheme="minorEastAsia" w:hAnsi="Times"/>
      <w:kern w:val="0"/>
      <w:lang w:val="es-ES_tradnl" w:eastAsia="en-US"/>
    </w:rPr>
  </w:style>
  <w:style w:type="character" w:customStyle="1" w:styleId="Ttulo2Car">
    <w:name w:val="Título 2 Car"/>
    <w:basedOn w:val="Fuentedeprrafopredeter"/>
    <w:link w:val="Ttulo2"/>
    <w:uiPriority w:val="9"/>
    <w:rsid w:val="003D43C3"/>
    <w:rPr>
      <w:rFonts w:ascii="Times New Roman" w:eastAsiaTheme="majorEastAsia" w:hAnsi="Times New Roman" w:cstheme="majorBidi"/>
      <w:b/>
      <w:kern w:val="0"/>
      <w:sz w:val="24"/>
      <w:szCs w:val="26"/>
      <w:lang w:eastAsia="en-US"/>
    </w:rPr>
  </w:style>
  <w:style w:type="character" w:customStyle="1" w:styleId="Ttulo3Car">
    <w:name w:val="Título 3 Car"/>
    <w:basedOn w:val="Fuentedeprrafopredeter"/>
    <w:link w:val="Ttulo3"/>
    <w:uiPriority w:val="9"/>
    <w:rsid w:val="00C3438F"/>
    <w:rPr>
      <w:rFonts w:asciiTheme="majorHAnsi" w:eastAsiaTheme="majorEastAsia" w:hAnsiTheme="majorHAnsi" w:cstheme="majorBidi"/>
      <w:b/>
      <w:bCs/>
      <w:color w:val="4472C4" w:themeColor="accent1"/>
    </w:rPr>
  </w:style>
  <w:style w:type="paragraph" w:styleId="Prrafodelista">
    <w:name w:val="List Paragraph"/>
    <w:basedOn w:val="Normal"/>
    <w:qFormat/>
    <w:rsid w:val="00C3438F"/>
    <w:pPr>
      <w:widowControl/>
      <w:suppressAutoHyphens w:val="0"/>
      <w:autoSpaceDN/>
      <w:ind w:left="720"/>
      <w:contextualSpacing/>
      <w:textAlignment w:val="auto"/>
    </w:pPr>
    <w:rPr>
      <w:rFonts w:asciiTheme="minorHAnsi" w:eastAsiaTheme="minorHAnsi" w:hAnsiTheme="minorHAnsi" w:cstheme="minorBidi"/>
      <w:kern w:val="0"/>
      <w:sz w:val="22"/>
      <w:szCs w:val="22"/>
      <w:lang w:eastAsia="en-US"/>
    </w:rPr>
  </w:style>
  <w:style w:type="table" w:customStyle="1" w:styleId="Tablaconcuadrcula6">
    <w:name w:val="Tabla con cuadrícula6"/>
    <w:basedOn w:val="Tablanormal"/>
    <w:next w:val="Tablaconcuadrcula"/>
    <w:uiPriority w:val="39"/>
    <w:rsid w:val="007F22EE"/>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7F2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F240E"/>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2902</Words>
  <Characters>15964</Characters>
  <Application>Microsoft Office Word</Application>
  <DocSecurity>0</DocSecurity>
  <Lines>133</Lines>
  <Paragraphs>37</Paragraphs>
  <ScaleCrop>false</ScaleCrop>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belén vázquez lupión</cp:lastModifiedBy>
  <cp:revision>8</cp:revision>
  <cp:lastPrinted>2019-10-04T07:05:00Z</cp:lastPrinted>
  <dcterms:created xsi:type="dcterms:W3CDTF">2020-10-25T14:18:00Z</dcterms:created>
  <dcterms:modified xsi:type="dcterms:W3CDTF">2020-10-28T15:57:00Z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